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9B52C" w14:textId="77777777" w:rsidR="00155B6C" w:rsidRDefault="00155B6C" w:rsidP="00155B6C">
      <w:pPr>
        <w:spacing w:after="0" w:line="240" w:lineRule="auto"/>
        <w:rPr>
          <w:rFonts w:ascii="Bookman Old Style" w:hAnsi="Bookman Old Style"/>
          <w:b/>
          <w:bCs/>
          <w:sz w:val="28"/>
          <w:szCs w:val="28"/>
          <w:lang w:val="el-GR"/>
        </w:rPr>
      </w:pPr>
      <w:r>
        <w:rPr>
          <w:rFonts w:ascii="Bookman Old Style" w:hAnsi="Bookman Old Style"/>
          <w:b/>
          <w:bCs/>
          <w:sz w:val="28"/>
          <w:szCs w:val="28"/>
          <w:lang w:val="el-GR"/>
        </w:rPr>
        <w:t>ΑΝΩΤΑΤΟ ΣΥΝΤΑΓΜΑΤΙΚΟ ΔΙΚΑΣΤΗΡΙΟ ΚΥΠΡΟΥ</w:t>
      </w:r>
    </w:p>
    <w:p w14:paraId="25382424" w14:textId="77777777" w:rsidR="00155B6C" w:rsidRDefault="00155B6C" w:rsidP="00155B6C">
      <w:pPr>
        <w:spacing w:after="0" w:line="240" w:lineRule="auto"/>
        <w:rPr>
          <w:rFonts w:ascii="Bookman Old Style" w:hAnsi="Bookman Old Style"/>
          <w:sz w:val="28"/>
          <w:szCs w:val="28"/>
          <w:lang w:val="el-GR"/>
        </w:rPr>
      </w:pPr>
      <w:r>
        <w:rPr>
          <w:rFonts w:ascii="Bookman Old Style" w:hAnsi="Bookman Old Style"/>
          <w:b/>
          <w:bCs/>
          <w:sz w:val="28"/>
          <w:szCs w:val="28"/>
          <w:lang w:val="el-GR"/>
        </w:rPr>
        <w:t>ΔΕΥΤΕΡΟΒΑΘΜΙΑ ΔΙΚΑΙΟΔΟΣΙΑ</w:t>
      </w:r>
    </w:p>
    <w:p w14:paraId="75CF33AB" w14:textId="77777777" w:rsidR="00155B6C" w:rsidRDefault="00155B6C" w:rsidP="00155B6C">
      <w:pPr>
        <w:rPr>
          <w:rFonts w:ascii="Bookman Old Style" w:hAnsi="Bookman Old Style"/>
          <w:sz w:val="28"/>
          <w:szCs w:val="28"/>
          <w:lang w:val="el-GR"/>
        </w:rPr>
      </w:pPr>
    </w:p>
    <w:p w14:paraId="28FE28F9" w14:textId="77777777" w:rsidR="00155B6C" w:rsidRDefault="00155B6C" w:rsidP="00155B6C">
      <w:pPr>
        <w:spacing w:line="240" w:lineRule="auto"/>
        <w:jc w:val="both"/>
        <w:rPr>
          <w:rFonts w:ascii="Bookman Old Style" w:hAnsi="Bookman Old Style"/>
          <w:i/>
          <w:iCs/>
          <w:sz w:val="28"/>
          <w:szCs w:val="28"/>
          <w:u w:val="single"/>
          <w:lang w:val="el-GR"/>
        </w:rPr>
      </w:pPr>
      <w:r>
        <w:rPr>
          <w:rFonts w:ascii="Bookman Old Style" w:hAnsi="Bookman Old Style"/>
          <w:i/>
          <w:iCs/>
          <w:sz w:val="28"/>
          <w:szCs w:val="28"/>
          <w:u w:val="single"/>
          <w:lang w:val="el-GR"/>
        </w:rPr>
        <w:t>(Άρθρο 23(3)(β)(</w:t>
      </w:r>
      <w:r>
        <w:rPr>
          <w:rFonts w:ascii="Bookman Old Style" w:hAnsi="Bookman Old Style"/>
          <w:i/>
          <w:iCs/>
          <w:sz w:val="28"/>
          <w:szCs w:val="28"/>
          <w:u w:val="single"/>
          <w:lang w:val="en-US"/>
        </w:rPr>
        <w:t>i</w:t>
      </w:r>
      <w:r>
        <w:rPr>
          <w:rFonts w:ascii="Bookman Old Style" w:hAnsi="Bookman Old Style"/>
          <w:i/>
          <w:iCs/>
          <w:sz w:val="28"/>
          <w:szCs w:val="28"/>
          <w:u w:val="single"/>
          <w:lang w:val="el-GR"/>
        </w:rPr>
        <w:t>) του Ν.33/64 – Μεταβατικές Διατάξεις)</w:t>
      </w:r>
    </w:p>
    <w:p w14:paraId="3976AA0E" w14:textId="77777777" w:rsidR="00155B6C" w:rsidRDefault="00155B6C" w:rsidP="00155B6C">
      <w:pPr>
        <w:spacing w:line="240" w:lineRule="auto"/>
        <w:jc w:val="both"/>
        <w:rPr>
          <w:rFonts w:ascii="Bookman Old Style" w:hAnsi="Bookman Old Style"/>
          <w:i/>
          <w:iCs/>
          <w:sz w:val="28"/>
          <w:szCs w:val="28"/>
          <w:u w:val="single"/>
          <w:lang w:val="el-GR"/>
        </w:rPr>
      </w:pPr>
    </w:p>
    <w:p w14:paraId="1866AD83" w14:textId="77777777" w:rsidR="00155B6C" w:rsidRDefault="00155B6C" w:rsidP="00155B6C">
      <w:pPr>
        <w:spacing w:line="240" w:lineRule="auto"/>
        <w:jc w:val="right"/>
        <w:rPr>
          <w:rFonts w:ascii="Bookman Old Style" w:hAnsi="Bookman Old Style"/>
          <w:i/>
          <w:iCs/>
          <w:sz w:val="28"/>
          <w:szCs w:val="28"/>
          <w:u w:val="single"/>
          <w:lang w:val="el-GR"/>
        </w:rPr>
      </w:pPr>
    </w:p>
    <w:p w14:paraId="361B2693" w14:textId="09250913" w:rsidR="00155B6C" w:rsidRDefault="00155B6C" w:rsidP="00155B6C">
      <w:pPr>
        <w:spacing w:line="240" w:lineRule="auto"/>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Έφεση κατά απόφασης Διοικητικού Δικαστηρίου Αρ. 39/2017</w:t>
      </w:r>
    </w:p>
    <w:p w14:paraId="7A42736B" w14:textId="3820E121" w:rsidR="00155B6C" w:rsidRDefault="009327FF" w:rsidP="009327FF">
      <w:pPr>
        <w:jc w:val="right"/>
        <w:rPr>
          <w:rFonts w:ascii="Bookman Old Style" w:hAnsi="Bookman Old Style"/>
          <w:i/>
          <w:iCs/>
          <w:sz w:val="28"/>
          <w:szCs w:val="28"/>
          <w:lang w:val="el-GR"/>
        </w:rPr>
      </w:pPr>
      <w:r>
        <w:rPr>
          <w:rFonts w:ascii="Bookman Old Style" w:hAnsi="Bookman Old Style"/>
          <w:i/>
          <w:iCs/>
          <w:sz w:val="28"/>
          <w:szCs w:val="28"/>
          <w:lang w:val="el-GR"/>
        </w:rPr>
        <w:t>(Συνεκδικασθείσες Υποθ. αρ. 5836/2013 και 5837/2013)</w:t>
      </w:r>
    </w:p>
    <w:p w14:paraId="4CC41267" w14:textId="77777777" w:rsidR="009327FF" w:rsidRPr="009327FF" w:rsidRDefault="009327FF" w:rsidP="009327FF">
      <w:pPr>
        <w:jc w:val="right"/>
        <w:rPr>
          <w:rFonts w:ascii="Bookman Old Style" w:hAnsi="Bookman Old Style"/>
          <w:i/>
          <w:iCs/>
          <w:sz w:val="28"/>
          <w:szCs w:val="28"/>
          <w:lang w:val="el-GR"/>
        </w:rPr>
      </w:pPr>
    </w:p>
    <w:p w14:paraId="025BE829" w14:textId="1AFF5B3D" w:rsidR="00155B6C" w:rsidRDefault="005870AB" w:rsidP="00155B6C">
      <w:pPr>
        <w:jc w:val="center"/>
        <w:rPr>
          <w:rFonts w:ascii="Bookman Old Style" w:hAnsi="Bookman Old Style"/>
          <w:sz w:val="28"/>
          <w:szCs w:val="28"/>
          <w:lang w:val="el-GR"/>
        </w:rPr>
      </w:pPr>
      <w:r w:rsidRPr="005870AB">
        <w:rPr>
          <w:rFonts w:ascii="Bookman Old Style" w:hAnsi="Bookman Old Style"/>
          <w:sz w:val="28"/>
          <w:szCs w:val="28"/>
          <w:lang w:val="el-GR"/>
        </w:rPr>
        <w:t xml:space="preserve">17 </w:t>
      </w:r>
      <w:r w:rsidR="00155B6C">
        <w:rPr>
          <w:rFonts w:ascii="Bookman Old Style" w:hAnsi="Bookman Old Style"/>
          <w:sz w:val="28"/>
          <w:szCs w:val="28"/>
          <w:lang w:val="el-GR"/>
        </w:rPr>
        <w:t>Οκτωβρίου, 2023</w:t>
      </w:r>
    </w:p>
    <w:p w14:paraId="1AE615A8" w14:textId="77777777" w:rsidR="00155B6C" w:rsidRDefault="00155B6C" w:rsidP="00155B6C">
      <w:pPr>
        <w:jc w:val="center"/>
        <w:rPr>
          <w:rFonts w:ascii="Bookman Old Style" w:hAnsi="Bookman Old Style"/>
          <w:sz w:val="28"/>
          <w:szCs w:val="28"/>
          <w:lang w:val="el-GR"/>
        </w:rPr>
      </w:pPr>
    </w:p>
    <w:p w14:paraId="07D9A0AF" w14:textId="77777777" w:rsidR="00155B6C" w:rsidRDefault="00155B6C" w:rsidP="00155B6C">
      <w:pPr>
        <w:jc w:val="center"/>
        <w:rPr>
          <w:rFonts w:ascii="Bookman Old Style" w:hAnsi="Bookman Old Style"/>
          <w:sz w:val="28"/>
          <w:szCs w:val="28"/>
          <w:lang w:val="el-GR"/>
        </w:rPr>
      </w:pPr>
      <w:r>
        <w:rPr>
          <w:rFonts w:ascii="Bookman Old Style" w:hAnsi="Bookman Old Style"/>
          <w:sz w:val="28"/>
          <w:szCs w:val="28"/>
          <w:lang w:val="el-GR"/>
        </w:rPr>
        <w:t>[Τ. ΨΑΡΑ-ΜΙΛΤΙΑΔΟΥ, ΣΤ. ΧΑΤΖΗΓΙΑΝΝΗ, Η. ΓΕΩΡΓΙΟΥ, Δ/ΣΤΕΣ]</w:t>
      </w:r>
    </w:p>
    <w:p w14:paraId="42F60B1A" w14:textId="77777777" w:rsidR="00155B6C" w:rsidRDefault="00155B6C" w:rsidP="00155B6C">
      <w:pPr>
        <w:rPr>
          <w:rFonts w:ascii="Bookman Old Style" w:hAnsi="Bookman Old Style"/>
          <w:sz w:val="28"/>
          <w:szCs w:val="28"/>
          <w:lang w:val="el-GR"/>
        </w:rPr>
      </w:pPr>
    </w:p>
    <w:p w14:paraId="5B33A3EC" w14:textId="40A1D66A" w:rsidR="00155B6C" w:rsidRDefault="00155B6C" w:rsidP="00155B6C">
      <w:pPr>
        <w:pStyle w:val="ListParagraph"/>
        <w:jc w:val="center"/>
        <w:rPr>
          <w:rFonts w:ascii="Bookman Old Style" w:hAnsi="Bookman Old Style"/>
          <w:sz w:val="28"/>
          <w:szCs w:val="28"/>
          <w:lang w:val="el-GR"/>
        </w:rPr>
      </w:pPr>
      <w:r>
        <w:rPr>
          <w:rFonts w:ascii="Bookman Old Style" w:hAnsi="Bookman Old Style"/>
          <w:i/>
          <w:iCs/>
          <w:sz w:val="28"/>
          <w:szCs w:val="28"/>
          <w:lang w:val="el-GR"/>
        </w:rPr>
        <w:t>ΚΥΠΡΟΣ ΠΡΩΤΟΠΑΠΑΣ</w:t>
      </w:r>
    </w:p>
    <w:p w14:paraId="67247FA8" w14:textId="4AE3D050" w:rsidR="00155B6C" w:rsidRDefault="00155B6C" w:rsidP="00155B6C">
      <w:pPr>
        <w:ind w:left="5040"/>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Εφεσείων</w:t>
      </w:r>
    </w:p>
    <w:p w14:paraId="7E423196" w14:textId="77777777" w:rsidR="00155B6C" w:rsidRDefault="00155B6C" w:rsidP="00155B6C">
      <w:pPr>
        <w:jc w:val="center"/>
        <w:rPr>
          <w:rFonts w:ascii="Bookman Old Style" w:hAnsi="Bookman Old Style"/>
          <w:sz w:val="28"/>
          <w:szCs w:val="28"/>
          <w:lang w:val="el-GR"/>
        </w:rPr>
      </w:pPr>
      <w:r>
        <w:rPr>
          <w:rFonts w:ascii="Bookman Old Style" w:hAnsi="Bookman Old Style"/>
          <w:sz w:val="28"/>
          <w:szCs w:val="28"/>
          <w:lang w:val="el-GR"/>
        </w:rPr>
        <w:t>και</w:t>
      </w:r>
    </w:p>
    <w:p w14:paraId="1F27D081" w14:textId="77777777" w:rsidR="00155B6C" w:rsidRDefault="00155B6C" w:rsidP="00155B6C">
      <w:pPr>
        <w:jc w:val="center"/>
        <w:rPr>
          <w:rFonts w:ascii="Bookman Old Style" w:hAnsi="Bookman Old Style"/>
          <w:i/>
          <w:iCs/>
          <w:sz w:val="28"/>
          <w:szCs w:val="28"/>
          <w:lang w:val="el-GR"/>
        </w:rPr>
      </w:pPr>
      <w:r>
        <w:rPr>
          <w:rFonts w:ascii="Bookman Old Style" w:hAnsi="Bookman Old Style"/>
          <w:sz w:val="28"/>
          <w:szCs w:val="28"/>
          <w:lang w:val="el-GR"/>
        </w:rPr>
        <w:t xml:space="preserve">     </w:t>
      </w:r>
      <w:r>
        <w:rPr>
          <w:rFonts w:ascii="Bookman Old Style" w:hAnsi="Bookman Old Style"/>
          <w:i/>
          <w:iCs/>
          <w:sz w:val="28"/>
          <w:szCs w:val="28"/>
          <w:lang w:val="el-GR"/>
        </w:rPr>
        <w:t>ΚΥΠΡΙΑΚΗΣ ΔΗΜΟΚΡΑΤΙΑΣ ΜΕΣΩ ΥΠΟΥΡΓΕΙΟΥ ΓΕΩΡΓΙΑΣ, ΦΥΣΙΚΩΝ ΠΟΡΩΝ ΚΑΙ ΠΕΡΙΒΑΛΛΟΝΤΟΣ</w:t>
      </w:r>
    </w:p>
    <w:p w14:paraId="4766AAC7" w14:textId="51962562" w:rsidR="00155B6C" w:rsidRDefault="00155B6C" w:rsidP="00155B6C">
      <w:pPr>
        <w:jc w:val="right"/>
        <w:rPr>
          <w:rFonts w:ascii="Bookman Old Style" w:hAnsi="Bookman Old Style"/>
          <w:i/>
          <w:iCs/>
          <w:sz w:val="28"/>
          <w:szCs w:val="28"/>
          <w:u w:val="single"/>
          <w:lang w:val="el-GR"/>
        </w:rPr>
      </w:pPr>
      <w:r>
        <w:rPr>
          <w:rFonts w:ascii="Bookman Old Style" w:hAnsi="Bookman Old Style"/>
          <w:i/>
          <w:iCs/>
          <w:sz w:val="28"/>
          <w:szCs w:val="28"/>
          <w:u w:val="single"/>
          <w:lang w:val="el-GR"/>
        </w:rPr>
        <w:t>Εφεσίβλητ</w:t>
      </w:r>
      <w:r w:rsidR="009327FF">
        <w:rPr>
          <w:rFonts w:ascii="Bookman Old Style" w:hAnsi="Bookman Old Style"/>
          <w:i/>
          <w:iCs/>
          <w:sz w:val="28"/>
          <w:szCs w:val="28"/>
          <w:u w:val="single"/>
          <w:lang w:val="el-GR"/>
        </w:rPr>
        <w:t>ης</w:t>
      </w:r>
    </w:p>
    <w:p w14:paraId="48B269B6" w14:textId="77777777" w:rsidR="00155B6C" w:rsidRDefault="00155B6C" w:rsidP="00155B6C">
      <w:pPr>
        <w:jc w:val="center"/>
        <w:rPr>
          <w:rFonts w:ascii="Bookman Old Style" w:hAnsi="Bookman Old Style"/>
          <w:sz w:val="28"/>
          <w:szCs w:val="28"/>
          <w:lang w:val="el-GR"/>
        </w:rPr>
      </w:pPr>
      <w:r>
        <w:rPr>
          <w:rFonts w:ascii="Bookman Old Style" w:hAnsi="Bookman Old Style"/>
          <w:sz w:val="28"/>
          <w:szCs w:val="28"/>
          <w:lang w:val="el-GR"/>
        </w:rPr>
        <w:t>------------------------</w:t>
      </w:r>
    </w:p>
    <w:p w14:paraId="7F8E47A6" w14:textId="3CF70322" w:rsidR="00155B6C" w:rsidRDefault="00155B6C" w:rsidP="00155B6C">
      <w:pPr>
        <w:jc w:val="both"/>
        <w:rPr>
          <w:rFonts w:ascii="Bookman Old Style" w:hAnsi="Bookman Old Style"/>
          <w:i/>
          <w:iCs/>
          <w:sz w:val="28"/>
          <w:szCs w:val="28"/>
          <w:lang w:val="el-GR"/>
        </w:rPr>
      </w:pPr>
      <w:r>
        <w:rPr>
          <w:rFonts w:ascii="Bookman Old Style" w:hAnsi="Bookman Old Style"/>
          <w:i/>
          <w:iCs/>
          <w:sz w:val="28"/>
          <w:szCs w:val="28"/>
          <w:lang w:val="el-GR"/>
        </w:rPr>
        <w:t>Χρ. Γαβριηλίδης, για Χρίστος &amp; Αντιγόνη Κωνσταντίνου Γαβριηλίδη ΔΕΠΕ,</w:t>
      </w:r>
      <w:r>
        <w:rPr>
          <w:rFonts w:ascii="Bookman Old Style" w:hAnsi="Bookman Old Style"/>
          <w:sz w:val="28"/>
          <w:szCs w:val="28"/>
          <w:lang w:val="el-GR"/>
        </w:rPr>
        <w:t xml:space="preserve"> </w:t>
      </w:r>
      <w:r>
        <w:rPr>
          <w:rFonts w:ascii="Bookman Old Style" w:hAnsi="Bookman Old Style"/>
          <w:i/>
          <w:iCs/>
          <w:sz w:val="28"/>
          <w:szCs w:val="28"/>
          <w:lang w:val="el-GR"/>
        </w:rPr>
        <w:t>για Εφεσεί</w:t>
      </w:r>
      <w:r w:rsidR="009327FF">
        <w:rPr>
          <w:rFonts w:ascii="Bookman Old Style" w:hAnsi="Bookman Old Style"/>
          <w:i/>
          <w:iCs/>
          <w:sz w:val="28"/>
          <w:szCs w:val="28"/>
          <w:lang w:val="el-GR"/>
        </w:rPr>
        <w:t>οντα</w:t>
      </w:r>
    </w:p>
    <w:p w14:paraId="105FB806" w14:textId="1E5BE676" w:rsidR="00155B6C" w:rsidRDefault="00155B6C" w:rsidP="00155B6C">
      <w:pPr>
        <w:jc w:val="both"/>
        <w:rPr>
          <w:rFonts w:ascii="Bookman Old Style" w:hAnsi="Bookman Old Style"/>
          <w:i/>
          <w:iCs/>
          <w:sz w:val="28"/>
          <w:szCs w:val="28"/>
          <w:lang w:val="el-GR"/>
        </w:rPr>
      </w:pPr>
      <w:r>
        <w:rPr>
          <w:rFonts w:ascii="Bookman Old Style" w:hAnsi="Bookman Old Style"/>
          <w:i/>
          <w:iCs/>
          <w:sz w:val="28"/>
          <w:szCs w:val="28"/>
          <w:lang w:val="el-GR"/>
        </w:rPr>
        <w:t>Γ. Χατζηχάννα (κα), Εισαγγελέας της Δημοκρατίας, εκ μέρους του Γενικού Εισαγγελέα της Δημοκρατίας, για Εφεσίβλητ</w:t>
      </w:r>
      <w:r w:rsidR="009327FF">
        <w:rPr>
          <w:rFonts w:ascii="Bookman Old Style" w:hAnsi="Bookman Old Style"/>
          <w:i/>
          <w:iCs/>
          <w:sz w:val="28"/>
          <w:szCs w:val="28"/>
          <w:lang w:val="el-GR"/>
        </w:rPr>
        <w:t>η</w:t>
      </w:r>
    </w:p>
    <w:p w14:paraId="43237673" w14:textId="77777777" w:rsidR="00155B6C" w:rsidRDefault="00155B6C" w:rsidP="00155B6C">
      <w:pPr>
        <w:rPr>
          <w:rFonts w:ascii="Bookman Old Style" w:hAnsi="Bookman Old Style"/>
          <w:i/>
          <w:iCs/>
          <w:sz w:val="28"/>
          <w:szCs w:val="28"/>
          <w:lang w:val="el-GR"/>
        </w:rPr>
      </w:pPr>
      <w:r>
        <w:rPr>
          <w:rFonts w:ascii="Bookman Old Style" w:hAnsi="Bookman Old Style"/>
          <w:i/>
          <w:iCs/>
          <w:sz w:val="28"/>
          <w:szCs w:val="28"/>
          <w:lang w:val="el-GR"/>
        </w:rPr>
        <w:tab/>
      </w:r>
      <w:r>
        <w:rPr>
          <w:rFonts w:ascii="Bookman Old Style" w:hAnsi="Bookman Old Style"/>
          <w:i/>
          <w:iCs/>
          <w:sz w:val="28"/>
          <w:szCs w:val="28"/>
          <w:lang w:val="el-GR"/>
        </w:rPr>
        <w:tab/>
      </w:r>
      <w:r>
        <w:rPr>
          <w:rFonts w:ascii="Bookman Old Style" w:hAnsi="Bookman Old Style"/>
          <w:i/>
          <w:iCs/>
          <w:sz w:val="28"/>
          <w:szCs w:val="28"/>
          <w:lang w:val="el-GR"/>
        </w:rPr>
        <w:tab/>
        <w:t xml:space="preserve">   </w:t>
      </w:r>
    </w:p>
    <w:p w14:paraId="4284036D" w14:textId="77777777" w:rsidR="00155B6C" w:rsidRDefault="00155B6C" w:rsidP="00155B6C">
      <w:pPr>
        <w:jc w:val="center"/>
        <w:rPr>
          <w:rFonts w:ascii="Bookman Old Style" w:hAnsi="Bookman Old Style"/>
          <w:i/>
          <w:iCs/>
          <w:sz w:val="28"/>
          <w:szCs w:val="28"/>
          <w:lang w:val="el-GR"/>
        </w:rPr>
      </w:pPr>
      <w:r>
        <w:rPr>
          <w:rFonts w:ascii="Bookman Old Style" w:hAnsi="Bookman Old Style"/>
          <w:i/>
          <w:iCs/>
          <w:sz w:val="28"/>
          <w:szCs w:val="28"/>
          <w:lang w:val="el-GR"/>
        </w:rPr>
        <w:t>--------------------</w:t>
      </w:r>
    </w:p>
    <w:p w14:paraId="5D844AC8" w14:textId="77777777" w:rsidR="00155B6C" w:rsidRDefault="00155B6C" w:rsidP="00155B6C">
      <w:pPr>
        <w:spacing w:line="276" w:lineRule="auto"/>
        <w:jc w:val="both"/>
        <w:rPr>
          <w:rFonts w:ascii="Bookman Old Style" w:hAnsi="Bookman Old Style"/>
          <w:b/>
          <w:bCs/>
          <w:sz w:val="28"/>
          <w:szCs w:val="28"/>
          <w:lang w:val="el-GR"/>
        </w:rPr>
      </w:pPr>
    </w:p>
    <w:p w14:paraId="3735C0DC" w14:textId="77777777" w:rsidR="00155B6C" w:rsidRDefault="00155B6C" w:rsidP="00155B6C">
      <w:pPr>
        <w:spacing w:line="276" w:lineRule="auto"/>
        <w:jc w:val="both"/>
        <w:rPr>
          <w:rFonts w:ascii="Bookman Old Style" w:hAnsi="Bookman Old Style"/>
          <w:sz w:val="28"/>
          <w:szCs w:val="28"/>
          <w:lang w:val="el-GR"/>
        </w:rPr>
      </w:pPr>
      <w:r>
        <w:rPr>
          <w:rFonts w:ascii="Bookman Old Style" w:hAnsi="Bookman Old Style"/>
          <w:b/>
          <w:bCs/>
          <w:sz w:val="28"/>
          <w:szCs w:val="28"/>
          <w:lang w:val="el-GR"/>
        </w:rPr>
        <w:t xml:space="preserve">Τ.,ΨΑΡΑ-ΜΙΛΤΙΑΔΟΥ, Δ.:  </w:t>
      </w:r>
      <w:r>
        <w:rPr>
          <w:rFonts w:ascii="Bookman Old Style" w:hAnsi="Bookman Old Style"/>
          <w:sz w:val="28"/>
          <w:szCs w:val="28"/>
          <w:lang w:val="el-GR"/>
        </w:rPr>
        <w:t>Την ομόφωνη απόφαση του Δικαστηρίου θα δώσει η Δικαστής Στ. Χατζηγιάννη</w:t>
      </w:r>
    </w:p>
    <w:p w14:paraId="0E64478D" w14:textId="61ABDF73" w:rsidR="00155B6C" w:rsidRDefault="00155B6C" w:rsidP="00F51F9C">
      <w:pPr>
        <w:spacing w:line="276" w:lineRule="auto"/>
        <w:rPr>
          <w:rFonts w:ascii="Bookman Old Style" w:hAnsi="Bookman Old Style"/>
          <w:b/>
          <w:bCs/>
          <w:sz w:val="28"/>
          <w:szCs w:val="28"/>
          <w:lang w:val="el-GR"/>
        </w:rPr>
      </w:pPr>
    </w:p>
    <w:p w14:paraId="3819AB8A" w14:textId="77777777" w:rsidR="00155B6C" w:rsidRPr="00155B6C" w:rsidRDefault="00155B6C" w:rsidP="00155B6C">
      <w:pPr>
        <w:spacing w:line="276" w:lineRule="auto"/>
        <w:jc w:val="center"/>
        <w:rPr>
          <w:rFonts w:ascii="Bookman Old Style" w:hAnsi="Bookman Old Style"/>
          <w:b/>
          <w:bCs/>
          <w:sz w:val="28"/>
          <w:szCs w:val="28"/>
          <w:u w:val="single"/>
          <w:lang w:val="el-GR"/>
        </w:rPr>
      </w:pPr>
      <w:r w:rsidRPr="00155B6C">
        <w:rPr>
          <w:rFonts w:ascii="Bookman Old Style" w:hAnsi="Bookman Old Style"/>
          <w:b/>
          <w:bCs/>
          <w:sz w:val="28"/>
          <w:szCs w:val="28"/>
          <w:u w:val="single"/>
          <w:lang w:val="el-GR"/>
        </w:rPr>
        <w:t>Α Π Ο Φ Α Σ Η</w:t>
      </w:r>
    </w:p>
    <w:p w14:paraId="4BD69344" w14:textId="77777777" w:rsidR="00155B6C" w:rsidRDefault="00155B6C" w:rsidP="00155B6C">
      <w:pPr>
        <w:spacing w:line="276" w:lineRule="auto"/>
        <w:jc w:val="center"/>
        <w:rPr>
          <w:rFonts w:ascii="Bookman Old Style" w:hAnsi="Bookman Old Style"/>
          <w:b/>
          <w:bCs/>
          <w:sz w:val="28"/>
          <w:szCs w:val="28"/>
          <w:lang w:val="el-GR"/>
        </w:rPr>
      </w:pPr>
    </w:p>
    <w:p w14:paraId="55E0FA4F" w14:textId="5C283C3F" w:rsidR="00155B6C" w:rsidRDefault="00155B6C"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b/>
          <w:bCs/>
          <w:kern w:val="0"/>
          <w:sz w:val="28"/>
          <w:szCs w:val="28"/>
          <w:lang w:val="el-GR"/>
          <w14:ligatures w14:val="none"/>
        </w:rPr>
        <w:t>ΧΑΤΖΗΓΙΑΝΝΗ</w:t>
      </w:r>
      <w:r w:rsidRPr="00E43C2C">
        <w:rPr>
          <w:rFonts w:ascii="Bookman Old Style" w:hAnsi="Bookman Old Style"/>
          <w:b/>
          <w:bCs/>
          <w:kern w:val="0"/>
          <w:sz w:val="28"/>
          <w:szCs w:val="28"/>
          <w:lang w:val="el-GR"/>
          <w14:ligatures w14:val="none"/>
        </w:rPr>
        <w:t xml:space="preserve">, </w:t>
      </w:r>
      <w:r>
        <w:rPr>
          <w:rFonts w:ascii="Bookman Old Style" w:hAnsi="Bookman Old Style"/>
          <w:b/>
          <w:bCs/>
          <w:kern w:val="0"/>
          <w:sz w:val="28"/>
          <w:szCs w:val="28"/>
          <w:lang w:val="el-GR"/>
          <w14:ligatures w14:val="none"/>
        </w:rPr>
        <w:t>Δ</w:t>
      </w:r>
      <w:r w:rsidRPr="00E43C2C">
        <w:rPr>
          <w:rFonts w:ascii="Bookman Old Style" w:hAnsi="Bookman Old Style"/>
          <w:b/>
          <w:bCs/>
          <w:kern w:val="0"/>
          <w:sz w:val="28"/>
          <w:szCs w:val="28"/>
          <w:lang w:val="el-GR"/>
          <w14:ligatures w14:val="none"/>
        </w:rPr>
        <w:t>.:</w:t>
      </w:r>
      <w:r w:rsidR="00E43C2C" w:rsidRPr="00E43C2C">
        <w:rPr>
          <w:rFonts w:ascii="Bookman Old Style" w:hAnsi="Bookman Old Style"/>
          <w:b/>
          <w:bCs/>
          <w:kern w:val="0"/>
          <w:sz w:val="28"/>
          <w:szCs w:val="28"/>
          <w:lang w:val="el-GR"/>
          <w14:ligatures w14:val="none"/>
        </w:rPr>
        <w:t xml:space="preserve">  </w:t>
      </w:r>
      <w:r w:rsidR="00E43C2C">
        <w:rPr>
          <w:rFonts w:ascii="Bookman Old Style" w:hAnsi="Bookman Old Style"/>
          <w:kern w:val="0"/>
          <w:sz w:val="28"/>
          <w:szCs w:val="28"/>
          <w:lang w:val="el-GR"/>
          <w14:ligatures w14:val="none"/>
        </w:rPr>
        <w:t xml:space="preserve">Το Μέτρο 1.2 «Ενίσχυση Εγκατάστασης Νέων Γεωργών», ως και το Μέτρο 1.5 «Εκσυγχρονισμός των Γεωργικών και Κτηνοτροφικών Εκμεταλλεύσεων», περιλαμβάνονται στο Πρόγραμμα Αγροτικής Ανάπτυξης 2007 – 2013, το οποίο εγκρίθηκε για συγχρηματοδότηση από την Ευρωπαϊκή Ένωση στις 23.11.2007. </w:t>
      </w:r>
    </w:p>
    <w:p w14:paraId="170C3921" w14:textId="77777777" w:rsidR="00E43C2C" w:rsidRDefault="00E43C2C" w:rsidP="00E43C2C">
      <w:pPr>
        <w:spacing w:after="0" w:line="480" w:lineRule="auto"/>
        <w:jc w:val="both"/>
        <w:rPr>
          <w:rFonts w:ascii="Bookman Old Style" w:hAnsi="Bookman Old Style"/>
          <w:kern w:val="0"/>
          <w:sz w:val="28"/>
          <w:szCs w:val="28"/>
          <w:lang w:val="el-GR"/>
          <w14:ligatures w14:val="none"/>
        </w:rPr>
      </w:pPr>
    </w:p>
    <w:p w14:paraId="38428FE8" w14:textId="63782F2E" w:rsidR="00E43C2C" w:rsidRDefault="00E43C2C"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Η διαδικασία εφαρμογής των Μέτρων, καταγράφεται σε σχετικά Εγχειρίδια Εφαρμογής, </w:t>
      </w:r>
      <w:r w:rsidR="009327FF">
        <w:rPr>
          <w:rFonts w:ascii="Bookman Old Style" w:hAnsi="Bookman Old Style"/>
          <w:kern w:val="0"/>
          <w:sz w:val="28"/>
          <w:szCs w:val="28"/>
          <w:lang w:val="el-GR"/>
          <w14:ligatures w14:val="none"/>
        </w:rPr>
        <w:t>που</w:t>
      </w:r>
      <w:r>
        <w:rPr>
          <w:rFonts w:ascii="Bookman Old Style" w:hAnsi="Bookman Old Style"/>
          <w:kern w:val="0"/>
          <w:sz w:val="28"/>
          <w:szCs w:val="28"/>
          <w:lang w:val="el-GR"/>
          <w14:ligatures w14:val="none"/>
        </w:rPr>
        <w:t xml:space="preserve"> εξέδωσε ο Κυπριακός Οργανισμός Αγροτικών Πληρωμών (Κ.Ο.Α.Π.), ο οποίος είχε αναθέσει την εφαρμογή των Μέτρων και την εξουσιοδότηση των πληρωμών, στο Τμήμα Γεωργία</w:t>
      </w:r>
      <w:r w:rsidR="007818DF">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με βάση Συμφωνία Αναδοχής.  </w:t>
      </w:r>
    </w:p>
    <w:p w14:paraId="3E3A5CFD" w14:textId="77777777" w:rsidR="00BA365D" w:rsidRDefault="00BA365D" w:rsidP="00E43C2C">
      <w:pPr>
        <w:spacing w:after="0" w:line="480" w:lineRule="auto"/>
        <w:jc w:val="both"/>
        <w:rPr>
          <w:rFonts w:ascii="Bookman Old Style" w:hAnsi="Bookman Old Style"/>
          <w:kern w:val="0"/>
          <w:sz w:val="28"/>
          <w:szCs w:val="28"/>
          <w:lang w:val="el-GR"/>
          <w14:ligatures w14:val="none"/>
        </w:rPr>
      </w:pPr>
    </w:p>
    <w:p w14:paraId="184B2CF4" w14:textId="03C7F963" w:rsidR="00BA365D" w:rsidRDefault="00BA365D"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Απαραίτητη </w:t>
      </w:r>
      <w:r w:rsidR="007818DF">
        <w:rPr>
          <w:rFonts w:ascii="Bookman Old Style" w:hAnsi="Bookman Old Style"/>
          <w:kern w:val="0"/>
          <w:sz w:val="28"/>
          <w:szCs w:val="28"/>
          <w:lang w:val="el-GR"/>
          <w14:ligatures w14:val="none"/>
        </w:rPr>
        <w:t>προϋπόθεση</w:t>
      </w:r>
      <w:r>
        <w:rPr>
          <w:rFonts w:ascii="Bookman Old Style" w:hAnsi="Bookman Old Style"/>
          <w:kern w:val="0"/>
          <w:sz w:val="28"/>
          <w:szCs w:val="28"/>
          <w:lang w:val="el-GR"/>
          <w14:ligatures w14:val="none"/>
        </w:rPr>
        <w:t xml:space="preserve"> για τη συμμετοχή στο Μέτρο 1.2 ήταν η υποβολή μαζί με την αίτηση και του επιχειρησιακού σχεδίου.  Σε περίπτωση συμμετοχής στο Μέτρο 1.5, απαραίτητη </w:t>
      </w:r>
      <w:r w:rsidR="007818DF">
        <w:rPr>
          <w:rFonts w:ascii="Bookman Old Style" w:hAnsi="Bookman Old Style"/>
          <w:kern w:val="0"/>
          <w:sz w:val="28"/>
          <w:szCs w:val="28"/>
          <w:lang w:val="el-GR"/>
          <w14:ligatures w14:val="none"/>
        </w:rPr>
        <w:t>προϋπόθεση</w:t>
      </w:r>
      <w:r>
        <w:rPr>
          <w:rFonts w:ascii="Bookman Old Style" w:hAnsi="Bookman Old Style"/>
          <w:kern w:val="0"/>
          <w:sz w:val="28"/>
          <w:szCs w:val="28"/>
          <w:lang w:val="el-GR"/>
          <w14:ligatures w14:val="none"/>
        </w:rPr>
        <w:t xml:space="preserve"> ήταν η υποβολή ολοκληρωμένης μελέτης οικονομικής βιωσιμότητας.  </w:t>
      </w:r>
    </w:p>
    <w:p w14:paraId="2A2FC11C" w14:textId="77777777" w:rsidR="00BA365D" w:rsidRDefault="00BA365D" w:rsidP="00E43C2C">
      <w:pPr>
        <w:spacing w:after="0" w:line="480" w:lineRule="auto"/>
        <w:jc w:val="both"/>
        <w:rPr>
          <w:rFonts w:ascii="Bookman Old Style" w:hAnsi="Bookman Old Style"/>
          <w:kern w:val="0"/>
          <w:sz w:val="28"/>
          <w:szCs w:val="28"/>
          <w:lang w:val="el-GR"/>
          <w14:ligatures w14:val="none"/>
        </w:rPr>
      </w:pPr>
    </w:p>
    <w:p w14:paraId="54A6B06E" w14:textId="3A6F90ED" w:rsidR="00BA365D" w:rsidRDefault="00BA365D"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Μετά την παραλαβή των αιτήσεων, διενεργούντο οι καθορισμένοι </w:t>
      </w:r>
      <w:r w:rsidR="009327FF">
        <w:rPr>
          <w:rFonts w:ascii="Bookman Old Style" w:hAnsi="Bookman Old Style"/>
          <w:kern w:val="0"/>
          <w:sz w:val="28"/>
          <w:szCs w:val="28"/>
          <w:lang w:val="el-GR"/>
          <w14:ligatures w14:val="none"/>
        </w:rPr>
        <w:t>δ</w:t>
      </w:r>
      <w:r>
        <w:rPr>
          <w:rFonts w:ascii="Bookman Old Style" w:hAnsi="Bookman Old Style"/>
          <w:kern w:val="0"/>
          <w:sz w:val="28"/>
          <w:szCs w:val="28"/>
          <w:lang w:val="el-GR"/>
          <w14:ligatures w14:val="none"/>
        </w:rPr>
        <w:t xml:space="preserve">ιοικητικοί έλεγχοι, τόσο σε επίπεδο Επαρχιακών Γεωργικών Γραφείων, </w:t>
      </w:r>
      <w:r w:rsidR="007818DF">
        <w:rPr>
          <w:rFonts w:ascii="Bookman Old Style" w:hAnsi="Bookman Old Style"/>
          <w:kern w:val="0"/>
          <w:sz w:val="28"/>
          <w:szCs w:val="28"/>
          <w:lang w:val="el-GR"/>
          <w14:ligatures w14:val="none"/>
        </w:rPr>
        <w:t>ό</w:t>
      </w:r>
      <w:r>
        <w:rPr>
          <w:rFonts w:ascii="Bookman Old Style" w:hAnsi="Bookman Old Style"/>
          <w:kern w:val="0"/>
          <w:sz w:val="28"/>
          <w:szCs w:val="28"/>
          <w:lang w:val="el-GR"/>
          <w14:ligatures w14:val="none"/>
        </w:rPr>
        <w:t xml:space="preserve">σο και </w:t>
      </w:r>
      <w:r w:rsidR="009327FF">
        <w:rPr>
          <w:rFonts w:ascii="Bookman Old Style" w:hAnsi="Bookman Old Style"/>
          <w:kern w:val="0"/>
          <w:sz w:val="28"/>
          <w:szCs w:val="28"/>
          <w:lang w:val="el-GR"/>
          <w14:ligatures w14:val="none"/>
        </w:rPr>
        <w:t>α</w:t>
      </w:r>
      <w:r>
        <w:rPr>
          <w:rFonts w:ascii="Bookman Old Style" w:hAnsi="Bookman Old Style"/>
          <w:kern w:val="0"/>
          <w:sz w:val="28"/>
          <w:szCs w:val="28"/>
          <w:lang w:val="el-GR"/>
          <w14:ligatures w14:val="none"/>
        </w:rPr>
        <w:t>πό την Κεντρική Μονάδα Εφαρμογής.  Οι Ενδιαφερόμενοι είχαν το δικαίωμα να υποβάλουν ένσταση εντός 30 ημερών από την ημερομηνία</w:t>
      </w:r>
      <w:r w:rsidR="00726AEA" w:rsidRPr="00726AEA">
        <w:rPr>
          <w:rFonts w:ascii="Bookman Old Style" w:hAnsi="Bookman Old Style"/>
          <w:kern w:val="0"/>
          <w:sz w:val="28"/>
          <w:szCs w:val="28"/>
          <w:lang w:val="el-GR"/>
          <w14:ligatures w14:val="none"/>
        </w:rPr>
        <w:t xml:space="preserve"> </w:t>
      </w:r>
      <w:r w:rsidR="00726AEA">
        <w:rPr>
          <w:rFonts w:ascii="Bookman Old Style" w:hAnsi="Bookman Old Style"/>
          <w:kern w:val="0"/>
          <w:sz w:val="28"/>
          <w:szCs w:val="28"/>
          <w:lang w:val="el-GR"/>
          <w14:ligatures w14:val="none"/>
        </w:rPr>
        <w:t>της</w:t>
      </w:r>
      <w:r>
        <w:rPr>
          <w:rFonts w:ascii="Bookman Old Style" w:hAnsi="Bookman Old Style"/>
          <w:kern w:val="0"/>
          <w:sz w:val="28"/>
          <w:szCs w:val="28"/>
          <w:lang w:val="el-GR"/>
          <w14:ligatures w14:val="none"/>
        </w:rPr>
        <w:t xml:space="preserve"> επιστολής προκαταρκτικής έγκρισης ή απόρριψης της αίτησης τους.  Για την εξέταση των ενστάσεων είχε συσταθεί Επιτροπή Ενστάσεων, αποτελούμενη από Ανώτερο Λειτουργό Γεωργίας ως Πρόεδρο, από τον Προϊστάμενο ή Εκπρόσωπο του Αρμόδιου Κλάδου που χειρίζεται το συγκεκριμένο Μέτρο και από Λειτουργό του Κ.Ο.Α.Π. </w:t>
      </w:r>
    </w:p>
    <w:p w14:paraId="05D05115"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129F4B6D" w14:textId="6315BDBC" w:rsidR="00215C60" w:rsidRDefault="00215C60"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Ο Εφεσείων υπέβαλε στις 28.11.2008 αίτηση για συμμετοχή του στο Μέτρο 1.5 και στη συνέχεια στις 16.12.200</w:t>
      </w:r>
      <w:r w:rsidR="009327FF">
        <w:rPr>
          <w:rFonts w:ascii="Bookman Old Style" w:hAnsi="Bookman Old Style"/>
          <w:kern w:val="0"/>
          <w:sz w:val="28"/>
          <w:szCs w:val="28"/>
          <w:lang w:val="el-GR"/>
          <w14:ligatures w14:val="none"/>
        </w:rPr>
        <w:t>8</w:t>
      </w:r>
      <w:r>
        <w:rPr>
          <w:rFonts w:ascii="Bookman Old Style" w:hAnsi="Bookman Old Style"/>
          <w:kern w:val="0"/>
          <w:sz w:val="28"/>
          <w:szCs w:val="28"/>
          <w:lang w:val="el-GR"/>
          <w14:ligatures w14:val="none"/>
        </w:rPr>
        <w:t xml:space="preserve"> αίτηση για συμμετοχή του στο Μετρό 1.2, μαζί με όλα τα σχετικά πιστοποιητικά και στοιχεία, μεταξύ των οποίων και μελέτη βιωσιμότητας.  </w:t>
      </w:r>
    </w:p>
    <w:p w14:paraId="2EAA1FA3"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5965FD20" w14:textId="11616410" w:rsidR="00215C60" w:rsidRDefault="00215C60"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Οι αιτήσεις του Εφεσείοντα εξετάστηκαν αλλά δεν έτυχαν έγκρισης, με το αιτιολογικό ότι η μελέτη βιωσιμότητας της εκμετάλλευσης που είχε επισυναφθεί</w:t>
      </w:r>
      <w:r w:rsidR="007818DF">
        <w:rPr>
          <w:rFonts w:ascii="Bookman Old Style" w:hAnsi="Bookman Old Style"/>
          <w:kern w:val="0"/>
          <w:sz w:val="28"/>
          <w:szCs w:val="28"/>
          <w:lang w:val="el-GR"/>
          <w14:ligatures w14:val="none"/>
        </w:rPr>
        <w:t xml:space="preserve"> σε</w:t>
      </w:r>
      <w:r>
        <w:rPr>
          <w:rFonts w:ascii="Bookman Old Style" w:hAnsi="Bookman Old Style"/>
          <w:kern w:val="0"/>
          <w:sz w:val="28"/>
          <w:szCs w:val="28"/>
          <w:lang w:val="el-GR"/>
          <w14:ligatures w14:val="none"/>
        </w:rPr>
        <w:t xml:space="preserve"> αυτές, είχε αξιολογηθεί και κριθεί ως μη βιώσιμη. </w:t>
      </w:r>
    </w:p>
    <w:p w14:paraId="0360B337"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2570F3BB" w14:textId="00713751" w:rsidR="00215C60" w:rsidRDefault="00215C60"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Ο Εφεσείων ενημερώθηκε για την απόρριψη τ</w:t>
      </w:r>
      <w:r w:rsidR="009327FF">
        <w:rPr>
          <w:rFonts w:ascii="Bookman Old Style" w:hAnsi="Bookman Old Style"/>
          <w:kern w:val="0"/>
          <w:sz w:val="28"/>
          <w:szCs w:val="28"/>
          <w:lang w:val="el-GR"/>
          <w14:ligatures w14:val="none"/>
        </w:rPr>
        <w:t xml:space="preserve">ων </w:t>
      </w:r>
      <w:r>
        <w:rPr>
          <w:rFonts w:ascii="Bookman Old Style" w:hAnsi="Bookman Old Style"/>
          <w:kern w:val="0"/>
          <w:sz w:val="28"/>
          <w:szCs w:val="28"/>
          <w:lang w:val="el-GR"/>
          <w14:ligatures w14:val="none"/>
        </w:rPr>
        <w:t>α</w:t>
      </w:r>
      <w:r w:rsidR="009327FF">
        <w:rPr>
          <w:rFonts w:ascii="Bookman Old Style" w:hAnsi="Bookman Old Style"/>
          <w:kern w:val="0"/>
          <w:sz w:val="28"/>
          <w:szCs w:val="28"/>
          <w:lang w:val="el-GR"/>
          <w14:ligatures w14:val="none"/>
        </w:rPr>
        <w:t>ιτήσεων του</w:t>
      </w:r>
      <w:r w:rsidR="00ED62CC">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με επιστολ</w:t>
      </w:r>
      <w:r w:rsidR="009327FF">
        <w:rPr>
          <w:rFonts w:ascii="Bookman Old Style" w:hAnsi="Bookman Old Style"/>
          <w:kern w:val="0"/>
          <w:sz w:val="28"/>
          <w:szCs w:val="28"/>
          <w:lang w:val="el-GR"/>
          <w14:ligatures w14:val="none"/>
        </w:rPr>
        <w:t>ές</w:t>
      </w:r>
      <w:r>
        <w:rPr>
          <w:rFonts w:ascii="Bookman Old Style" w:hAnsi="Bookman Old Style"/>
          <w:kern w:val="0"/>
          <w:sz w:val="28"/>
          <w:szCs w:val="28"/>
          <w:lang w:val="el-GR"/>
          <w14:ligatures w14:val="none"/>
        </w:rPr>
        <w:t xml:space="preserve"> της Εφεσίβλητης ημερ. 16.8.2010 και 26.5.2010</w:t>
      </w:r>
      <w:r w:rsidR="009327FF">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009327FF">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ναντίον της απόρριψης των αιτήσεων</w:t>
      </w:r>
      <w:r w:rsidR="009327FF">
        <w:rPr>
          <w:rFonts w:ascii="Bookman Old Style" w:hAnsi="Bookman Old Style"/>
          <w:kern w:val="0"/>
          <w:sz w:val="28"/>
          <w:szCs w:val="28"/>
          <w:lang w:val="el-GR"/>
          <w14:ligatures w14:val="none"/>
        </w:rPr>
        <w:t xml:space="preserve"> του</w:t>
      </w:r>
      <w:r>
        <w:rPr>
          <w:rFonts w:ascii="Bookman Old Style" w:hAnsi="Bookman Old Style"/>
          <w:kern w:val="0"/>
          <w:sz w:val="28"/>
          <w:szCs w:val="28"/>
          <w:lang w:val="el-GR"/>
          <w14:ligatures w14:val="none"/>
        </w:rPr>
        <w:t xml:space="preserve">, </w:t>
      </w:r>
      <w:r w:rsidR="009327FF">
        <w:rPr>
          <w:rFonts w:ascii="Bookman Old Style" w:hAnsi="Bookman Old Style"/>
          <w:kern w:val="0"/>
          <w:sz w:val="28"/>
          <w:szCs w:val="28"/>
          <w:lang w:val="el-GR"/>
          <w14:ligatures w14:val="none"/>
        </w:rPr>
        <w:t>ο Εφεσείων υπέβαλε</w:t>
      </w:r>
      <w:r w:rsidR="00D472D4" w:rsidRPr="00D472D4">
        <w:rPr>
          <w:rFonts w:ascii="Bookman Old Style" w:hAnsi="Bookman Old Style"/>
          <w:kern w:val="0"/>
          <w:sz w:val="28"/>
          <w:szCs w:val="28"/>
          <w:lang w:val="el-GR"/>
          <w14:ligatures w14:val="none"/>
        </w:rPr>
        <w:t xml:space="preserve"> </w:t>
      </w:r>
      <w:r w:rsidR="00D472D4">
        <w:rPr>
          <w:rFonts w:ascii="Bookman Old Style" w:hAnsi="Bookman Old Style"/>
          <w:kern w:val="0"/>
          <w:sz w:val="28"/>
          <w:szCs w:val="28"/>
          <w:lang w:val="el-GR"/>
          <w14:ligatures w14:val="none"/>
        </w:rPr>
        <w:t xml:space="preserve">ενστάσεις </w:t>
      </w:r>
      <w:r w:rsidR="009327FF">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στις 10.9.2010 και 21.6.2010</w:t>
      </w:r>
      <w:r w:rsidR="00D472D4">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διαφωνώντας με την απόρριψη, αφού σύμφωνα με τους δικούς </w:t>
      </w:r>
      <w:r w:rsidR="007818DF">
        <w:rPr>
          <w:rFonts w:ascii="Bookman Old Style" w:hAnsi="Bookman Old Style"/>
          <w:kern w:val="0"/>
          <w:sz w:val="28"/>
          <w:szCs w:val="28"/>
          <w:lang w:val="el-GR"/>
          <w14:ligatures w14:val="none"/>
        </w:rPr>
        <w:t>τ</w:t>
      </w:r>
      <w:r>
        <w:rPr>
          <w:rFonts w:ascii="Bookman Old Style" w:hAnsi="Bookman Old Style"/>
          <w:kern w:val="0"/>
          <w:sz w:val="28"/>
          <w:szCs w:val="28"/>
          <w:lang w:val="el-GR"/>
          <w14:ligatures w14:val="none"/>
        </w:rPr>
        <w:t xml:space="preserve">ου </w:t>
      </w:r>
      <w:r w:rsidR="009327FF">
        <w:rPr>
          <w:rFonts w:ascii="Bookman Old Style" w:hAnsi="Bookman Old Style"/>
          <w:kern w:val="0"/>
          <w:sz w:val="28"/>
          <w:szCs w:val="28"/>
          <w:lang w:val="el-GR"/>
          <w14:ligatures w14:val="none"/>
        </w:rPr>
        <w:t>υ</w:t>
      </w:r>
      <w:r>
        <w:rPr>
          <w:rFonts w:ascii="Bookman Old Style" w:hAnsi="Bookman Old Style"/>
          <w:kern w:val="0"/>
          <w:sz w:val="28"/>
          <w:szCs w:val="28"/>
          <w:lang w:val="el-GR"/>
          <w14:ligatures w14:val="none"/>
        </w:rPr>
        <w:t xml:space="preserve">πολογισμούς, το Σχέδιο Βελτίωσης που είχε υποβάλει για τη μονάδα του, ήταν βιώσιμο.  </w:t>
      </w:r>
    </w:p>
    <w:p w14:paraId="56F88AE2"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2A5C2191" w14:textId="49CD7B9B" w:rsidR="00215C60" w:rsidRDefault="00215C60"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Αφού διενεργήθηκε επαναξιολόγηση του Σχεδίου Βελτίωσης των αιτήσεων του Εφεσείοντα, από την οποία προέκυψε και πάλι ότι επρόκειτο για μη βιώσιμη εκμετάλλευση, η Επιτροπή Ενστάσεων, στη συνεδρία της ημερ. 18.2.2011</w:t>
      </w:r>
      <w:r w:rsidR="00D472D4">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απέρριψε τις ενστάσεις του Εφεσείοντα. </w:t>
      </w:r>
    </w:p>
    <w:p w14:paraId="624D16E5"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7E793C83" w14:textId="582F2AC1" w:rsidR="00215C60" w:rsidRDefault="00215C60"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Εναντίον της πιο πάνω απόφασης απόρριψης, ο Εφεσείων καταχώρισε τις Προσφυγές με αρ. 835/2011 και 615/2011.</w:t>
      </w:r>
    </w:p>
    <w:p w14:paraId="1104F48F"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18767803" w14:textId="7A8DE931" w:rsidR="00215C60" w:rsidRDefault="00215C60"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Με απόφαση της ημερ. 19.10.2012</w:t>
      </w:r>
      <w:r w:rsidR="009327FF">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η Επιτροπή Ενστάσεων ανακάλεσε τις πιο πάνω αποφάσεις της για απόρριψη.  Ακολούθησε επανεξέταση από τον αρμόδιο κλάδο Εξουσιοδότησης Αγροτικών Πληρωμών, ο οποίος, με απόφαση του που </w:t>
      </w:r>
      <w:r w:rsidR="007818DF">
        <w:rPr>
          <w:rFonts w:ascii="Bookman Old Style" w:hAnsi="Bookman Old Style"/>
          <w:kern w:val="0"/>
          <w:sz w:val="28"/>
          <w:szCs w:val="28"/>
          <w:lang w:val="el-GR"/>
          <w14:ligatures w14:val="none"/>
        </w:rPr>
        <w:t>κοινοποιήθηκε</w:t>
      </w:r>
      <w:r>
        <w:rPr>
          <w:rFonts w:ascii="Bookman Old Style" w:hAnsi="Bookman Old Style"/>
          <w:kern w:val="0"/>
          <w:sz w:val="28"/>
          <w:szCs w:val="28"/>
          <w:lang w:val="el-GR"/>
          <w14:ligatures w14:val="none"/>
        </w:rPr>
        <w:t xml:space="preserve"> στον Εφεσείοντα στις 18.12.2012, απέρριψε εκ νέου τις αιτήσεις του, διότι η μελέτη βιωσιμότητας που είχε επισυναφθεί, είχε αξιολογηθεί και κριθεί ως μη βιώσιμη.</w:t>
      </w:r>
    </w:p>
    <w:p w14:paraId="2C66FF7A" w14:textId="77777777" w:rsidR="002B0949" w:rsidRDefault="002B0949" w:rsidP="00E43C2C">
      <w:pPr>
        <w:spacing w:after="0" w:line="480" w:lineRule="auto"/>
        <w:jc w:val="both"/>
        <w:rPr>
          <w:rFonts w:ascii="Bookman Old Style" w:hAnsi="Bookman Old Style"/>
          <w:kern w:val="0"/>
          <w:sz w:val="28"/>
          <w:szCs w:val="28"/>
          <w:lang w:val="el-GR"/>
          <w14:ligatures w14:val="none"/>
        </w:rPr>
      </w:pPr>
    </w:p>
    <w:p w14:paraId="3A704002" w14:textId="3138083E" w:rsidR="002B0949" w:rsidRDefault="002B094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Ακολούθησε εκ νέου, εμπρόθεσμη υποβολή ενστάσεων εκ μέρους του Εφεσείοντα, αφού σύμφωνα με τους δικούς του υπολογισμού</w:t>
      </w:r>
      <w:r w:rsidR="007818DF">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το Σχέδιο Βελτίωση</w:t>
      </w:r>
      <w:r w:rsidR="009327FF">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που είχε υποβάλει ήταν βιώσιμο.</w:t>
      </w:r>
    </w:p>
    <w:p w14:paraId="3253083C" w14:textId="77777777" w:rsidR="002B0949" w:rsidRDefault="002B0949" w:rsidP="00E43C2C">
      <w:pPr>
        <w:spacing w:after="0" w:line="480" w:lineRule="auto"/>
        <w:jc w:val="both"/>
        <w:rPr>
          <w:rFonts w:ascii="Bookman Old Style" w:hAnsi="Bookman Old Style"/>
          <w:kern w:val="0"/>
          <w:sz w:val="28"/>
          <w:szCs w:val="28"/>
          <w:lang w:val="el-GR"/>
          <w14:ligatures w14:val="none"/>
        </w:rPr>
      </w:pPr>
    </w:p>
    <w:p w14:paraId="76CA30E3" w14:textId="110B0FF1" w:rsidR="002B0949" w:rsidRDefault="002B094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Η Επιτροπή Ενστάσεων, στη συνεδρία της ημερ. 16.4.2013, εξέτασε τις ενστάσεις του Εφεσείοντα και αποφάσισε ομόφωνα να τις απορρίψει, αφού με βάση τη διαδικασία που προνοείται από το Εγχειρίδιο Εφαρμογής του Μέτρου 1.2 και 1.5, η αξιολόγηση όλων των αιτήσεων γ</w:t>
      </w:r>
      <w:r w:rsidR="009327FF">
        <w:rPr>
          <w:rFonts w:ascii="Bookman Old Style" w:hAnsi="Bookman Old Style"/>
          <w:kern w:val="0"/>
          <w:sz w:val="28"/>
          <w:szCs w:val="28"/>
          <w:lang w:val="el-GR"/>
          <w14:ligatures w14:val="none"/>
        </w:rPr>
        <w:t>ινόταν</w:t>
      </w:r>
      <w:r>
        <w:rPr>
          <w:rFonts w:ascii="Bookman Old Style" w:hAnsi="Bookman Old Style"/>
          <w:kern w:val="0"/>
          <w:sz w:val="28"/>
          <w:szCs w:val="28"/>
          <w:lang w:val="el-GR"/>
          <w14:ligatures w14:val="none"/>
        </w:rPr>
        <w:t xml:space="preserve"> με βάση τα οικονομικά στοιχεία εισροών – εκροών που λαμβάνοντ</w:t>
      </w:r>
      <w:r w:rsidR="009327FF">
        <w:rPr>
          <w:rFonts w:ascii="Bookman Old Style" w:hAnsi="Bookman Old Style"/>
          <w:kern w:val="0"/>
          <w:sz w:val="28"/>
          <w:szCs w:val="28"/>
          <w:lang w:val="el-GR"/>
          <w14:ligatures w14:val="none"/>
        </w:rPr>
        <w:t>ο</w:t>
      </w:r>
      <w:r>
        <w:rPr>
          <w:rFonts w:ascii="Bookman Old Style" w:hAnsi="Bookman Old Style"/>
          <w:kern w:val="0"/>
          <w:sz w:val="28"/>
          <w:szCs w:val="28"/>
          <w:lang w:val="el-GR"/>
          <w14:ligatures w14:val="none"/>
        </w:rPr>
        <w:t xml:space="preserve"> από το Ινστιτούτο Γεωργικών Ερευνών (ΙΓΕ).  Η χρήση στοιχείων για την αξιολόγηση του Σχεδίου Βελτίωσης από άλλες πηγές, δεν ενέπιπτε στη διαδικασία που περιγράφεται στο Εγχειρίδιο Εφαρμογής του Μέτρου 1.2 και Μέτρου 1.5.</w:t>
      </w:r>
    </w:p>
    <w:p w14:paraId="77F902BE" w14:textId="77777777" w:rsidR="002B0949" w:rsidRDefault="002B0949" w:rsidP="00E43C2C">
      <w:pPr>
        <w:spacing w:after="0" w:line="480" w:lineRule="auto"/>
        <w:jc w:val="both"/>
        <w:rPr>
          <w:rFonts w:ascii="Bookman Old Style" w:hAnsi="Bookman Old Style"/>
          <w:kern w:val="0"/>
          <w:sz w:val="28"/>
          <w:szCs w:val="28"/>
          <w:lang w:val="el-GR"/>
          <w14:ligatures w14:val="none"/>
        </w:rPr>
      </w:pPr>
    </w:p>
    <w:p w14:paraId="240598B1" w14:textId="7552CBDA" w:rsidR="002B0949" w:rsidRDefault="002B094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Ο Εφεσείων ενημερώθηκε για τις εν λόγω αποφάσεις της Εφεσίβλητης, με επιστολές της ημερ. 4.6.2013, την νομιμότητα των οποίων προσέβαλε με τις Προσφυγές 5836/2013 και 5837/2013, οι οποίες συνεκδικάστηκαν πρωτόδικα.  </w:t>
      </w:r>
    </w:p>
    <w:p w14:paraId="01A296DF" w14:textId="77777777" w:rsidR="009327FF" w:rsidRDefault="009E273B"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Σε σχέση με τους προβληθέντες λόγους ακύρωσης, το πρωτόδικο Δικαστήριο, έκρινε πως ουδείς δύναται να επιτύχει.  Σύμφωνα με την πρωτόδικη απόφαση, οι προσβαλλόμενες αποφάσεις λήφθηκαν κατόπιν επαρκούς δέουσας έρευνας και ορθής άσκησης της διακριτικής ευχέρειας της Εφεσίβλητης, είναι πλήρως και επαρκώς αιτιολογημένες και ουδόλως τεκμηριώθηκ</w:t>
      </w:r>
      <w:r w:rsidR="009327FF">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 εκ μέρους του Εφεσείοντα ότι αυτές λήφθηκαν με κακή πίστη και αντίθετα </w:t>
      </w:r>
      <w:r w:rsidR="009327FF">
        <w:rPr>
          <w:rFonts w:ascii="Bookman Old Style" w:hAnsi="Bookman Old Style"/>
          <w:kern w:val="0"/>
          <w:sz w:val="28"/>
          <w:szCs w:val="28"/>
          <w:lang w:val="el-GR"/>
          <w14:ligatures w14:val="none"/>
        </w:rPr>
        <w:t>με</w:t>
      </w:r>
      <w:r>
        <w:rPr>
          <w:rFonts w:ascii="Bookman Old Style" w:hAnsi="Bookman Old Style"/>
          <w:kern w:val="0"/>
          <w:sz w:val="28"/>
          <w:szCs w:val="28"/>
          <w:lang w:val="el-GR"/>
          <w14:ligatures w14:val="none"/>
        </w:rPr>
        <w:t xml:space="preserve"> τις αρχές της χρηστής διοίκησης. </w:t>
      </w:r>
    </w:p>
    <w:p w14:paraId="0D670859" w14:textId="77777777" w:rsidR="009327FF" w:rsidRDefault="009327FF" w:rsidP="00E43C2C">
      <w:pPr>
        <w:spacing w:after="0" w:line="480" w:lineRule="auto"/>
        <w:jc w:val="both"/>
        <w:rPr>
          <w:rFonts w:ascii="Bookman Old Style" w:hAnsi="Bookman Old Style"/>
          <w:kern w:val="0"/>
          <w:sz w:val="28"/>
          <w:szCs w:val="28"/>
          <w:lang w:val="el-GR"/>
          <w14:ligatures w14:val="none"/>
        </w:rPr>
      </w:pPr>
    </w:p>
    <w:p w14:paraId="091BE74D" w14:textId="558293A5" w:rsidR="009E273B" w:rsidRDefault="009E273B" w:rsidP="009327FF">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 Η κατάληξη αυτή του πρωτόδικου Δικαστηρίου, οδήγησε σε απόρριψη των Προσφυγών 5836/2013 και 5837/2013 και συνακόλουθα, οι επίδικες αποφάσεις για απόρριψη των αιτήσεων συμμετοχής του Εφεσείοντα στο Μέτρο 1.2. και Μέτρο 1.5 επικυρώθηκαν.  </w:t>
      </w:r>
    </w:p>
    <w:p w14:paraId="4160356E" w14:textId="77777777" w:rsidR="009E273B" w:rsidRDefault="009E273B" w:rsidP="00E43C2C">
      <w:pPr>
        <w:spacing w:after="0" w:line="480" w:lineRule="auto"/>
        <w:jc w:val="both"/>
        <w:rPr>
          <w:rFonts w:ascii="Bookman Old Style" w:hAnsi="Bookman Old Style"/>
          <w:kern w:val="0"/>
          <w:sz w:val="28"/>
          <w:szCs w:val="28"/>
          <w:lang w:val="el-GR"/>
          <w14:ligatures w14:val="none"/>
        </w:rPr>
      </w:pPr>
    </w:p>
    <w:p w14:paraId="35A34D94" w14:textId="363578C8" w:rsidR="009E273B" w:rsidRDefault="009E273B"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Ο Εφεσείων θεωρεί εσφαλμένη την πρωτόδικη απόφαση και με την παρούσα Έφεση επιδιώκει την ανατροπή της, στη βάση τεσσάρων (4) λόγων Έφεσης. </w:t>
      </w:r>
    </w:p>
    <w:p w14:paraId="040C6ADA" w14:textId="77777777" w:rsidR="00215C60" w:rsidRDefault="00215C60" w:rsidP="00E43C2C">
      <w:pPr>
        <w:spacing w:after="0" w:line="480" w:lineRule="auto"/>
        <w:jc w:val="both"/>
        <w:rPr>
          <w:rFonts w:ascii="Bookman Old Style" w:hAnsi="Bookman Old Style"/>
          <w:kern w:val="0"/>
          <w:sz w:val="28"/>
          <w:szCs w:val="28"/>
          <w:lang w:val="el-GR"/>
          <w14:ligatures w14:val="none"/>
        </w:rPr>
      </w:pPr>
    </w:p>
    <w:p w14:paraId="09794AF0" w14:textId="77777777" w:rsidR="00D472D4" w:rsidRDefault="009327FF" w:rsidP="00AB5165">
      <w:pPr>
        <w:spacing w:after="0" w:line="480" w:lineRule="auto"/>
        <w:jc w:val="both"/>
        <w:rPr>
          <w:rFonts w:ascii="Bookman Old Style" w:hAnsi="Bookman Old Style" w:cs="Arial"/>
          <w:i/>
          <w:iCs/>
          <w:color w:val="000000"/>
          <w:sz w:val="28"/>
          <w:szCs w:val="28"/>
          <w:lang w:val="el-GR"/>
        </w:rPr>
      </w:pPr>
      <w:r>
        <w:rPr>
          <w:rFonts w:ascii="Bookman Old Style" w:hAnsi="Bookman Old Style"/>
          <w:kern w:val="0"/>
          <w:sz w:val="28"/>
          <w:szCs w:val="28"/>
          <w:lang w:val="el-GR"/>
          <w14:ligatures w14:val="none"/>
        </w:rPr>
        <w:tab/>
      </w:r>
      <w:r w:rsidR="00A64B39">
        <w:rPr>
          <w:rFonts w:ascii="Bookman Old Style" w:hAnsi="Bookman Old Style"/>
          <w:kern w:val="0"/>
          <w:sz w:val="28"/>
          <w:szCs w:val="28"/>
          <w:lang w:val="el-GR"/>
          <w14:ligatures w14:val="none"/>
        </w:rPr>
        <w:t>Με τον 1</w:t>
      </w:r>
      <w:r w:rsidR="00A64B39" w:rsidRPr="00A64B39">
        <w:rPr>
          <w:rFonts w:ascii="Bookman Old Style" w:hAnsi="Bookman Old Style"/>
          <w:kern w:val="0"/>
          <w:sz w:val="28"/>
          <w:szCs w:val="28"/>
          <w:vertAlign w:val="superscript"/>
          <w:lang w:val="el-GR"/>
          <w14:ligatures w14:val="none"/>
        </w:rPr>
        <w:t>ο</w:t>
      </w:r>
      <w:r w:rsidR="00A64B39">
        <w:rPr>
          <w:rFonts w:ascii="Bookman Old Style" w:hAnsi="Bookman Old Style"/>
          <w:kern w:val="0"/>
          <w:sz w:val="28"/>
          <w:szCs w:val="28"/>
          <w:lang w:val="el-GR"/>
          <w14:ligatures w14:val="none"/>
        </w:rPr>
        <w:t xml:space="preserve"> λόγο Έφεσης,  ο Εφεσείων υποστηρίζει πως το πρωτόδικο Δικαστήριο εσφαλμένα υιοθέτησε τη θέση της Εφεσίβλητης, πως ο σκοπός ήταν </w:t>
      </w:r>
      <w:r w:rsidR="00EE62CC" w:rsidRPr="00EE62CC">
        <w:rPr>
          <w:rFonts w:ascii="Bookman Old Style" w:hAnsi="Bookman Old Style"/>
          <w:i/>
          <w:iCs/>
          <w:kern w:val="0"/>
          <w:sz w:val="28"/>
          <w:szCs w:val="28"/>
          <w:lang w:val="el-GR"/>
          <w14:ligatures w14:val="none"/>
        </w:rPr>
        <w:t>«</w:t>
      </w:r>
      <w:r w:rsidR="00A64B39" w:rsidRPr="00EE62CC">
        <w:rPr>
          <w:rFonts w:ascii="Bookman Old Style" w:hAnsi="Bookman Old Style"/>
          <w:i/>
          <w:iCs/>
          <w:kern w:val="0"/>
          <w:sz w:val="28"/>
          <w:szCs w:val="28"/>
          <w:lang w:val="el-GR"/>
          <w14:ligatures w14:val="none"/>
        </w:rPr>
        <w:t>η</w:t>
      </w:r>
      <w:r w:rsidR="00AB5165" w:rsidRPr="00EE62CC">
        <w:rPr>
          <w:rFonts w:ascii="Bookman Old Style" w:hAnsi="Bookman Old Style"/>
          <w:i/>
          <w:iCs/>
          <w:kern w:val="0"/>
          <w:sz w:val="28"/>
          <w:szCs w:val="28"/>
          <w:lang w:val="el-GR"/>
          <w14:ligatures w14:val="none"/>
        </w:rPr>
        <w:t xml:space="preserve"> </w:t>
      </w:r>
      <w:r w:rsidR="00AB5165" w:rsidRPr="00EE62CC">
        <w:rPr>
          <w:rFonts w:ascii="Bookman Old Style" w:hAnsi="Bookman Old Style" w:cs="Arial"/>
          <w:i/>
          <w:iCs/>
          <w:color w:val="000000"/>
          <w:sz w:val="28"/>
          <w:szCs w:val="28"/>
        </w:rPr>
        <w:t>ύπαρξη δύο εντελώς ανεξάρτητων μεταξύ τους μελετών, στηριγμένες στη πραγματικότητα, ακριβείς, οι οποίες θα συγκριθούν μεταξύ τους με κάποια προκαθορισμένη δυνατότητα απόκλισης, έτσι ώστε να προκύψει από αυτή τη διαδικασία ορθή και τεκμηριωμένη απόφαση.</w:t>
      </w:r>
      <w:r w:rsidR="00D472D4">
        <w:rPr>
          <w:rFonts w:ascii="Bookman Old Style" w:hAnsi="Bookman Old Style" w:cs="Arial"/>
          <w:i/>
          <w:iCs/>
          <w:color w:val="000000"/>
          <w:sz w:val="28"/>
          <w:szCs w:val="28"/>
          <w:lang w:val="el-GR"/>
        </w:rPr>
        <w:t>»</w:t>
      </w:r>
    </w:p>
    <w:p w14:paraId="1B6C3B41" w14:textId="66E1A7F2" w:rsidR="00AB5165" w:rsidRDefault="00AB5165" w:rsidP="00D472D4">
      <w:pPr>
        <w:spacing w:after="0" w:line="480" w:lineRule="auto"/>
        <w:jc w:val="both"/>
        <w:rPr>
          <w:rFonts w:ascii="Bookman Old Style" w:hAnsi="Bookman Old Style"/>
          <w:i/>
          <w:iCs/>
          <w:kern w:val="0"/>
          <w:sz w:val="28"/>
          <w:szCs w:val="28"/>
          <w:lang w:val="el-GR"/>
          <w14:ligatures w14:val="none"/>
        </w:rPr>
      </w:pPr>
      <w:r w:rsidRPr="00EE62CC">
        <w:rPr>
          <w:rFonts w:ascii="Bookman Old Style" w:hAnsi="Bookman Old Style" w:cs="Arial"/>
          <w:i/>
          <w:iCs/>
          <w:color w:val="000000"/>
          <w:sz w:val="28"/>
          <w:szCs w:val="28"/>
        </w:rPr>
        <w:t xml:space="preserve"> </w:t>
      </w:r>
    </w:p>
    <w:p w14:paraId="31BAD960" w14:textId="79F4D8C9" w:rsidR="00A64B39" w:rsidRDefault="00A64B3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i/>
          <w:iCs/>
          <w:kern w:val="0"/>
          <w:sz w:val="28"/>
          <w:szCs w:val="28"/>
          <w:lang w:val="el-GR"/>
          <w14:ligatures w14:val="none"/>
        </w:rPr>
        <w:tab/>
      </w:r>
      <w:r>
        <w:rPr>
          <w:rFonts w:ascii="Bookman Old Style" w:hAnsi="Bookman Old Style"/>
          <w:kern w:val="0"/>
          <w:sz w:val="28"/>
          <w:szCs w:val="28"/>
          <w:lang w:val="el-GR"/>
          <w14:ligatures w14:val="none"/>
        </w:rPr>
        <w:t>Με τον 2</w:t>
      </w:r>
      <w:r w:rsidRPr="00A64B39">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Έφεσης προσβάλ</w:t>
      </w:r>
      <w:r w:rsidR="00D472D4">
        <w:rPr>
          <w:rFonts w:ascii="Bookman Old Style" w:hAnsi="Bookman Old Style"/>
          <w:kern w:val="0"/>
          <w:sz w:val="28"/>
          <w:szCs w:val="28"/>
          <w:lang w:val="el-GR"/>
          <w14:ligatures w14:val="none"/>
        </w:rPr>
        <w:t>λ</w:t>
      </w:r>
      <w:r>
        <w:rPr>
          <w:rFonts w:ascii="Bookman Old Style" w:hAnsi="Bookman Old Style"/>
          <w:kern w:val="0"/>
          <w:sz w:val="28"/>
          <w:szCs w:val="28"/>
          <w:lang w:val="el-GR"/>
          <w14:ligatures w14:val="none"/>
        </w:rPr>
        <w:t xml:space="preserve">ει ως εσφαλμένη την μη αποδοχή από το πρωτόδικο Δικαστήριο, της θέσης του ότι υπήρχαν αποχρώντες λόγοι που δικαιολογούσαν απόκλιση από τα κριτήρια αξιολόγησης που είχαν αρχικά τεθεί μέσω του εγχειριδίου εφαρμογής και των δύο Μέτρων, αφού την δεδομένη στιγμή δεν είχαν δημοσιευθεί τα στοιχεία </w:t>
      </w:r>
      <w:r>
        <w:rPr>
          <w:rFonts w:ascii="Bookman Old Style" w:hAnsi="Bookman Old Style"/>
          <w:kern w:val="0"/>
          <w:sz w:val="28"/>
          <w:szCs w:val="28"/>
          <w:lang w:val="en-US"/>
          <w14:ligatures w14:val="none"/>
        </w:rPr>
        <w:t>NORM</w:t>
      </w:r>
      <w:r w:rsidRPr="00A64B39">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του ΙΓΕ που αφορούσαν την κονικλοτροφία. </w:t>
      </w:r>
    </w:p>
    <w:p w14:paraId="1719B9A3" w14:textId="77777777" w:rsidR="00A64B39" w:rsidRDefault="00A64B39" w:rsidP="00E43C2C">
      <w:pPr>
        <w:spacing w:after="0" w:line="480" w:lineRule="auto"/>
        <w:jc w:val="both"/>
        <w:rPr>
          <w:rFonts w:ascii="Bookman Old Style" w:hAnsi="Bookman Old Style"/>
          <w:kern w:val="0"/>
          <w:sz w:val="28"/>
          <w:szCs w:val="28"/>
          <w:lang w:val="el-GR"/>
          <w14:ligatures w14:val="none"/>
        </w:rPr>
      </w:pPr>
    </w:p>
    <w:p w14:paraId="2489BDB0" w14:textId="412D8A1C" w:rsidR="00A64B39" w:rsidRDefault="00A64B3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Με τον 3</w:t>
      </w:r>
      <w:r w:rsidRPr="00A64B39">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Έφεσης προσβάλλει ως εσφαλμένο το εύρημα του πρωτόδικου Δικαστηρίου ότι η Εφεσίβλητη ενήργησε καλόπιστα και ορθά, ως και ότι δεν θα μπορούσε, το ίδιο το Δικαστήριο</w:t>
      </w:r>
      <w:r w:rsidR="00D472D4">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να υπεισέλθει σε τεχνικά θέματα τα οποία απαιτούν ειδικές γνώσεις.  </w:t>
      </w:r>
    </w:p>
    <w:p w14:paraId="071D098B" w14:textId="77777777" w:rsidR="00A64B39" w:rsidRDefault="00A64B39" w:rsidP="00E43C2C">
      <w:pPr>
        <w:spacing w:after="0" w:line="480" w:lineRule="auto"/>
        <w:jc w:val="both"/>
        <w:rPr>
          <w:rFonts w:ascii="Bookman Old Style" w:hAnsi="Bookman Old Style"/>
          <w:kern w:val="0"/>
          <w:sz w:val="28"/>
          <w:szCs w:val="28"/>
          <w:lang w:val="el-GR"/>
          <w14:ligatures w14:val="none"/>
        </w:rPr>
      </w:pPr>
    </w:p>
    <w:p w14:paraId="2C542435" w14:textId="23AA45B9" w:rsidR="00A64B39" w:rsidRDefault="00A64B3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Τέλος, με τον 4</w:t>
      </w:r>
      <w:r w:rsidRPr="00A64B39">
        <w:rPr>
          <w:rFonts w:ascii="Bookman Old Style" w:hAnsi="Bookman Old Style"/>
          <w:kern w:val="0"/>
          <w:sz w:val="28"/>
          <w:szCs w:val="28"/>
          <w:vertAlign w:val="superscript"/>
          <w:lang w:val="el-GR"/>
          <w14:ligatures w14:val="none"/>
        </w:rPr>
        <w:t>ο</w:t>
      </w:r>
      <w:r>
        <w:rPr>
          <w:rFonts w:ascii="Bookman Old Style" w:hAnsi="Bookman Old Style"/>
          <w:kern w:val="0"/>
          <w:sz w:val="28"/>
          <w:szCs w:val="28"/>
          <w:lang w:val="el-GR"/>
          <w14:ligatures w14:val="none"/>
        </w:rPr>
        <w:t xml:space="preserve"> λόγο Έφεσης</w:t>
      </w:r>
      <w:r w:rsidR="00D472D4">
        <w:rPr>
          <w:rFonts w:ascii="Bookman Old Style" w:hAnsi="Bookman Old Style"/>
          <w:kern w:val="0"/>
          <w:sz w:val="28"/>
          <w:szCs w:val="28"/>
          <w:lang w:val="el-GR"/>
          <w14:ligatures w14:val="none"/>
        </w:rPr>
        <w:t xml:space="preserve"> εισηγείται πως είναι </w:t>
      </w:r>
      <w:r>
        <w:rPr>
          <w:rFonts w:ascii="Bookman Old Style" w:hAnsi="Bookman Old Style"/>
          <w:kern w:val="0"/>
          <w:sz w:val="28"/>
          <w:szCs w:val="28"/>
          <w:lang w:val="el-GR"/>
          <w14:ligatures w14:val="none"/>
        </w:rPr>
        <w:t>εσφαλμένο το εύρημα του πρωτόδικου Δικαστηρίου ότι είχε δοθεί επαρκ</w:t>
      </w:r>
      <w:r w:rsidR="00D472D4">
        <w:rPr>
          <w:rFonts w:ascii="Bookman Old Style" w:hAnsi="Bookman Old Style"/>
          <w:kern w:val="0"/>
          <w:sz w:val="28"/>
          <w:szCs w:val="28"/>
          <w:lang w:val="el-GR"/>
          <w14:ligatures w14:val="none"/>
        </w:rPr>
        <w:t>ής</w:t>
      </w:r>
      <w:r>
        <w:rPr>
          <w:rFonts w:ascii="Bookman Old Style" w:hAnsi="Bookman Old Style"/>
          <w:kern w:val="0"/>
          <w:sz w:val="28"/>
          <w:szCs w:val="28"/>
          <w:lang w:val="el-GR"/>
          <w14:ligatures w14:val="none"/>
        </w:rPr>
        <w:t xml:space="preserve"> αιτιολογία για την απόρριψη των αιτήσεων του Εφεσείοντα. </w:t>
      </w:r>
    </w:p>
    <w:p w14:paraId="580561E9" w14:textId="77777777" w:rsidR="00A64B39" w:rsidRDefault="00A64B39" w:rsidP="00E43C2C">
      <w:pPr>
        <w:spacing w:after="0" w:line="480" w:lineRule="auto"/>
        <w:jc w:val="both"/>
        <w:rPr>
          <w:rFonts w:ascii="Bookman Old Style" w:hAnsi="Bookman Old Style"/>
          <w:kern w:val="0"/>
          <w:sz w:val="28"/>
          <w:szCs w:val="28"/>
          <w:lang w:val="el-GR"/>
          <w14:ligatures w14:val="none"/>
        </w:rPr>
      </w:pPr>
    </w:p>
    <w:p w14:paraId="0A8F53DF" w14:textId="0E79AF42" w:rsidR="00A64B39" w:rsidRDefault="00A64B3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Διαφορετική είναι η θέση της Εφεσίβλητης, η οποία υποστηρίζει την ορθότητα της πρωτόδικης απόφασης και απορρίπτει τις εισηγήσεις του Εφεσείοντα. </w:t>
      </w:r>
    </w:p>
    <w:p w14:paraId="13603FF6" w14:textId="77777777" w:rsidR="00A64B39" w:rsidRDefault="00A64B39" w:rsidP="00E43C2C">
      <w:pPr>
        <w:spacing w:after="0" w:line="480" w:lineRule="auto"/>
        <w:jc w:val="both"/>
        <w:rPr>
          <w:rFonts w:ascii="Bookman Old Style" w:hAnsi="Bookman Old Style"/>
          <w:kern w:val="0"/>
          <w:sz w:val="28"/>
          <w:szCs w:val="28"/>
          <w:lang w:val="el-GR"/>
          <w14:ligatures w14:val="none"/>
        </w:rPr>
      </w:pPr>
    </w:p>
    <w:p w14:paraId="1CB18202" w14:textId="52160125" w:rsidR="00A64B39" w:rsidRDefault="00A64B39" w:rsidP="00E43C2C">
      <w:pPr>
        <w:spacing w:after="0" w:line="480" w:lineRule="auto"/>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ab/>
        <w:t xml:space="preserve">Από το περιεχόμενο </w:t>
      </w:r>
      <w:r w:rsidR="00D472D4">
        <w:rPr>
          <w:rFonts w:ascii="Bookman Old Style" w:hAnsi="Bookman Old Style"/>
          <w:kern w:val="0"/>
          <w:sz w:val="28"/>
          <w:szCs w:val="28"/>
          <w:lang w:val="el-GR"/>
          <w14:ligatures w14:val="none"/>
        </w:rPr>
        <w:t xml:space="preserve">όλων των λόγων </w:t>
      </w:r>
      <w:r>
        <w:rPr>
          <w:rFonts w:ascii="Bookman Old Style" w:hAnsi="Bookman Old Style"/>
          <w:kern w:val="0"/>
          <w:sz w:val="28"/>
          <w:szCs w:val="28"/>
          <w:lang w:val="el-GR"/>
          <w14:ligatures w14:val="none"/>
        </w:rPr>
        <w:t>Έφεσης, ως και την αιτιολογία τους, προκύπτει ότι αυτοί είναι αλληλένδετοι μεταξύ τους και συμπλέκονται.  Ειδικότερα, αποτελεί κοινό πυρήνα της θέσης του ευπαίδευτου συνηγόρου του Εφεσείοντα, πως κατά το χρόνο υποβολής των αιτήσεων του και συνεπώς και της μελέτης βιωσιμότητας  που είχε γίνει από διαπιστευμένο φορέα</w:t>
      </w:r>
      <w:r w:rsidR="00D472D4">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00D472D4">
        <w:rPr>
          <w:rFonts w:ascii="Bookman Old Style" w:hAnsi="Bookman Old Style"/>
          <w:kern w:val="0"/>
          <w:sz w:val="28"/>
          <w:szCs w:val="28"/>
          <w:lang w:val="el-GR"/>
          <w14:ligatures w14:val="none"/>
        </w:rPr>
        <w:t xml:space="preserve">κατά παράβαση των Εγχειριδίων των Μέτρων, </w:t>
      </w:r>
      <w:r>
        <w:rPr>
          <w:rFonts w:ascii="Bookman Old Style" w:hAnsi="Bookman Old Style"/>
          <w:kern w:val="0"/>
          <w:sz w:val="28"/>
          <w:szCs w:val="28"/>
          <w:lang w:val="el-GR"/>
          <w14:ligatures w14:val="none"/>
        </w:rPr>
        <w:t xml:space="preserve">δεν είχαν ακόμα δημοσιευθεί τα στοιχεία </w:t>
      </w:r>
      <w:r>
        <w:rPr>
          <w:rFonts w:ascii="Bookman Old Style" w:hAnsi="Bookman Old Style"/>
          <w:kern w:val="0"/>
          <w:sz w:val="28"/>
          <w:szCs w:val="28"/>
          <w:lang w:val="en-US"/>
          <w14:ligatures w14:val="none"/>
        </w:rPr>
        <w:t>NORM</w:t>
      </w:r>
      <w:r w:rsidRPr="00A64B39">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του ΙΓΕ που αφορούσαν την κονικλοτροφία</w:t>
      </w:r>
      <w:r w:rsidR="00ED62CC">
        <w:rPr>
          <w:rFonts w:ascii="Bookman Old Style" w:hAnsi="Bookman Old Style"/>
          <w:kern w:val="0"/>
          <w:sz w:val="28"/>
          <w:szCs w:val="28"/>
          <w:lang w:val="el-GR"/>
          <w14:ligatures w14:val="none"/>
        </w:rPr>
        <w:t xml:space="preserve"> και</w:t>
      </w:r>
      <w:r w:rsidR="00C21501">
        <w:rPr>
          <w:rFonts w:ascii="Bookman Old Style" w:hAnsi="Bookman Old Style"/>
          <w:kern w:val="0"/>
          <w:sz w:val="28"/>
          <w:szCs w:val="28"/>
          <w:lang w:val="el-GR"/>
          <w14:ligatures w14:val="none"/>
        </w:rPr>
        <w:t xml:space="preserve"> τα οποία δημοσιεύθηκαν</w:t>
      </w:r>
      <w:r w:rsidR="00D472D4">
        <w:rPr>
          <w:rFonts w:ascii="Bookman Old Style" w:hAnsi="Bookman Old Style"/>
          <w:kern w:val="0"/>
          <w:sz w:val="28"/>
          <w:szCs w:val="28"/>
          <w:lang w:val="el-GR"/>
          <w14:ligatures w14:val="none"/>
        </w:rPr>
        <w:t xml:space="preserve"> μεταγενέστερα,</w:t>
      </w:r>
      <w:r w:rsidR="00C21501">
        <w:rPr>
          <w:rFonts w:ascii="Bookman Old Style" w:hAnsi="Bookman Old Style"/>
          <w:kern w:val="0"/>
          <w:sz w:val="28"/>
          <w:szCs w:val="28"/>
          <w:lang w:val="el-GR"/>
          <w14:ligatures w14:val="none"/>
        </w:rPr>
        <w:t xml:space="preserve"> τον Ιούλιο 2009.</w:t>
      </w:r>
      <w:r>
        <w:rPr>
          <w:rFonts w:ascii="Bookman Old Style" w:hAnsi="Bookman Old Style"/>
          <w:kern w:val="0"/>
          <w:sz w:val="28"/>
          <w:szCs w:val="28"/>
          <w:lang w:val="el-GR"/>
          <w14:ligatures w14:val="none"/>
        </w:rPr>
        <w:t xml:space="preserve">  Συνεπώς, εκ</w:t>
      </w:r>
      <w:r w:rsidR="00C21501">
        <w:rPr>
          <w:rFonts w:ascii="Bookman Old Style" w:hAnsi="Bookman Old Style"/>
          <w:kern w:val="0"/>
          <w:sz w:val="28"/>
          <w:szCs w:val="28"/>
          <w:lang w:val="el-GR"/>
          <w14:ligatures w14:val="none"/>
        </w:rPr>
        <w:t xml:space="preserve"> των πραγμάτων, ο διαπιστευμένος φορέας θα έπρεπε να προβεί στη μελέτη βιωσιμότητας, χωρίς αυτά τα στοιχεία του ΙΓΕ και αναγκαστικά να στηριχθεί σε άλλα στοιχεία.  Με αυτά τα δεδομένα, είναι η εισήγηση του πως οι αρμόδιες υπηρεσίες όφειλαν να αξιολογήσουν τη μελέτη οικονομικής βιωσιμότητας που είχε υποβάλει, με αντικειμενικά στοιχεία που θα συγκεντρώνονταν όχι μόνο από το ΙΓΕ</w:t>
      </w:r>
      <w:r w:rsidR="00D472D4">
        <w:rPr>
          <w:rFonts w:ascii="Bookman Old Style" w:hAnsi="Bookman Old Style"/>
          <w:kern w:val="0"/>
          <w:sz w:val="28"/>
          <w:szCs w:val="28"/>
          <w:lang w:val="el-GR"/>
          <w14:ligatures w14:val="none"/>
        </w:rPr>
        <w:t>,</w:t>
      </w:r>
      <w:r w:rsidR="00C21501">
        <w:rPr>
          <w:rFonts w:ascii="Bookman Old Style" w:hAnsi="Bookman Old Style"/>
          <w:kern w:val="0"/>
          <w:sz w:val="28"/>
          <w:szCs w:val="28"/>
          <w:lang w:val="el-GR"/>
          <w14:ligatures w14:val="none"/>
        </w:rPr>
        <w:t xml:space="preserve"> αλλά και από την επισκόπηση στην κονικλοτροφία και την </w:t>
      </w:r>
      <w:r w:rsidR="00D472D4">
        <w:rPr>
          <w:rFonts w:ascii="Bookman Old Style" w:hAnsi="Bookman Old Style"/>
          <w:kern w:val="0"/>
          <w:sz w:val="28"/>
          <w:szCs w:val="28"/>
          <w:lang w:val="el-GR"/>
          <w14:ligatures w14:val="none"/>
        </w:rPr>
        <w:t>Σ</w:t>
      </w:r>
      <w:r w:rsidR="00C21501">
        <w:rPr>
          <w:rFonts w:ascii="Bookman Old Style" w:hAnsi="Bookman Old Style"/>
          <w:kern w:val="0"/>
          <w:sz w:val="28"/>
          <w:szCs w:val="28"/>
          <w:lang w:val="el-GR"/>
          <w14:ligatures w14:val="none"/>
        </w:rPr>
        <w:t xml:space="preserve">τατιστική </w:t>
      </w:r>
      <w:r w:rsidR="00D472D4">
        <w:rPr>
          <w:rFonts w:ascii="Bookman Old Style" w:hAnsi="Bookman Old Style"/>
          <w:kern w:val="0"/>
          <w:sz w:val="28"/>
          <w:szCs w:val="28"/>
          <w:lang w:val="el-GR"/>
          <w14:ligatures w14:val="none"/>
        </w:rPr>
        <w:t>Υ</w:t>
      </w:r>
      <w:r w:rsidR="00C21501">
        <w:rPr>
          <w:rFonts w:ascii="Bookman Old Style" w:hAnsi="Bookman Old Style"/>
          <w:kern w:val="0"/>
          <w:sz w:val="28"/>
          <w:szCs w:val="28"/>
          <w:lang w:val="el-GR"/>
          <w14:ligatures w14:val="none"/>
        </w:rPr>
        <w:t>πηρεσία του Κράτους</w:t>
      </w:r>
      <w:r w:rsidR="00D472D4">
        <w:rPr>
          <w:rFonts w:ascii="Bookman Old Style" w:hAnsi="Bookman Old Style"/>
          <w:kern w:val="0"/>
          <w:sz w:val="28"/>
          <w:szCs w:val="28"/>
          <w:lang w:val="el-GR"/>
          <w14:ligatures w14:val="none"/>
        </w:rPr>
        <w:t>,</w:t>
      </w:r>
      <w:r w:rsidR="00C21501">
        <w:rPr>
          <w:rFonts w:ascii="Bookman Old Style" w:hAnsi="Bookman Old Style"/>
          <w:kern w:val="0"/>
          <w:sz w:val="28"/>
          <w:szCs w:val="28"/>
          <w:lang w:val="el-GR"/>
          <w14:ligatures w14:val="none"/>
        </w:rPr>
        <w:t xml:space="preserve"> τα οποία είχε ο ίδιος θέσει στη δική του μελέτη βιωσιμότητας. </w:t>
      </w:r>
    </w:p>
    <w:p w14:paraId="1F6D54E1" w14:textId="77777777" w:rsidR="00C21501" w:rsidRDefault="00C21501" w:rsidP="00E43C2C">
      <w:pPr>
        <w:spacing w:after="0" w:line="480" w:lineRule="auto"/>
        <w:jc w:val="both"/>
        <w:rPr>
          <w:rFonts w:ascii="Bookman Old Style" w:hAnsi="Bookman Old Style"/>
          <w:kern w:val="0"/>
          <w:sz w:val="28"/>
          <w:szCs w:val="28"/>
          <w:lang w:val="el-GR"/>
          <w14:ligatures w14:val="none"/>
        </w:rPr>
      </w:pPr>
    </w:p>
    <w:p w14:paraId="6F5E3AC3" w14:textId="7D1F8F46" w:rsidR="00C21501" w:rsidRDefault="00C21501"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Αντίθετα, η ευπαίδευτη συνήγορος της Εφεσίβλητης, εισηγήθηκε πως το γεγονός ότι κατά τον χρόνο υποβολής των αιτήσεων του Εφεσείοντα, δεν </w:t>
      </w:r>
      <w:r w:rsidR="00353F96">
        <w:rPr>
          <w:rFonts w:ascii="Bookman Old Style" w:hAnsi="Bookman Old Style"/>
          <w:kern w:val="0"/>
          <w:sz w:val="28"/>
          <w:szCs w:val="28"/>
          <w:lang w:val="el-GR"/>
          <w14:ligatures w14:val="none"/>
        </w:rPr>
        <w:t>ήταν</w:t>
      </w:r>
      <w:r>
        <w:rPr>
          <w:rFonts w:ascii="Bookman Old Style" w:hAnsi="Bookman Old Style"/>
          <w:kern w:val="0"/>
          <w:sz w:val="28"/>
          <w:szCs w:val="28"/>
          <w:lang w:val="el-GR"/>
          <w14:ligatures w14:val="none"/>
        </w:rPr>
        <w:t xml:space="preserve"> δημοσιευμένα τα στοιχεία </w:t>
      </w:r>
      <w:r>
        <w:rPr>
          <w:rFonts w:ascii="Bookman Old Style" w:hAnsi="Bookman Old Style"/>
          <w:kern w:val="0"/>
          <w:sz w:val="28"/>
          <w:szCs w:val="28"/>
          <w:lang w:val="en-US"/>
          <w14:ligatures w14:val="none"/>
        </w:rPr>
        <w:t>NORM</w:t>
      </w:r>
      <w:r w:rsidRPr="00C2150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Input</w:t>
      </w:r>
      <w:r w:rsidRPr="00C2150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w:t>
      </w:r>
      <w:r w:rsidRPr="00C2150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Output</w:t>
      </w:r>
      <w:r w:rsidRPr="00C2150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του ΙΓΕ, ουδόλως επηρέαζε την λήψη των προσβαλλόμενων αποφάσεων.  Τούτο γιατί δεν αποτελούσε απαραίτητη προϋπόθεση να υπήρχαν από προηγουμένως ενώπιον του Εφεσείοντα και του διαπιστευμένου φορέα, για σκοπούς</w:t>
      </w:r>
      <w:r w:rsidR="00F31AA7">
        <w:rPr>
          <w:rFonts w:ascii="Bookman Old Style" w:hAnsi="Bookman Old Style"/>
          <w:kern w:val="0"/>
          <w:sz w:val="28"/>
          <w:szCs w:val="28"/>
          <w:lang w:val="el-GR"/>
          <w14:ligatures w14:val="none"/>
        </w:rPr>
        <w:t xml:space="preserve"> συμπλήρωσης </w:t>
      </w:r>
      <w:r w:rsidR="00702488">
        <w:rPr>
          <w:rFonts w:ascii="Bookman Old Style" w:hAnsi="Bookman Old Style"/>
          <w:kern w:val="0"/>
          <w:sz w:val="28"/>
          <w:szCs w:val="28"/>
          <w:lang w:val="el-GR"/>
          <w14:ligatures w14:val="none"/>
        </w:rPr>
        <w:t xml:space="preserve">του Σχεδίου Βελτίωσης των αιτήσεων του.  Το καθήκον του Εφεσείοντα – μέσω του διαπιστευμένου φορέα – ήταν να παρουσιάσει αντιπροσωπευτικά στοιχεία, ικανά να τεκμηριώσουν την οικονομική βιωσιμότητα των αιτήσεων του. </w:t>
      </w:r>
    </w:p>
    <w:p w14:paraId="2887667C" w14:textId="77777777" w:rsidR="00702488" w:rsidRDefault="00702488" w:rsidP="00C21501">
      <w:pPr>
        <w:spacing w:after="0" w:line="480" w:lineRule="auto"/>
        <w:ind w:firstLine="720"/>
        <w:jc w:val="both"/>
        <w:rPr>
          <w:rFonts w:ascii="Bookman Old Style" w:hAnsi="Bookman Old Style"/>
          <w:kern w:val="0"/>
          <w:sz w:val="28"/>
          <w:szCs w:val="28"/>
          <w:lang w:val="el-GR"/>
          <w14:ligatures w14:val="none"/>
        </w:rPr>
      </w:pPr>
    </w:p>
    <w:p w14:paraId="0C65C8B3" w14:textId="77777777" w:rsidR="00702488" w:rsidRDefault="00702488"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Εξετάσαμε με προσοχή τις πιο πάνω εισηγήσεις του ευπαίδευτου συνηγόρου του Εφεσείοντα, οι οποίες δεν μας βρίσκουν σύμφωνους.  Σύμφωνα με το Εγχειρίδιο του Μέτρου 1.5, αποτελούσε βασική προϋπόθεση η υποβολή Μελέτης Οικονομικής Βιωσιμότητας από διαπιστευμένο φορέα, ο οποίος είχε καθήκον να παρουσιάσει, όσο το δυνατό πιο αντιπροσωπευτική εικόνα των οικονομικών στοιχείων της εκμετάλλευσης για την οποία υποβάλλετο η αίτηση. </w:t>
      </w:r>
    </w:p>
    <w:p w14:paraId="6E1A463B" w14:textId="77777777" w:rsidR="00702488" w:rsidRDefault="00702488" w:rsidP="00C21501">
      <w:pPr>
        <w:spacing w:after="0" w:line="480" w:lineRule="auto"/>
        <w:ind w:firstLine="720"/>
        <w:jc w:val="both"/>
        <w:rPr>
          <w:rFonts w:ascii="Bookman Old Style" w:hAnsi="Bookman Old Style"/>
          <w:kern w:val="0"/>
          <w:sz w:val="28"/>
          <w:szCs w:val="28"/>
          <w:lang w:val="el-GR"/>
          <w14:ligatures w14:val="none"/>
        </w:rPr>
      </w:pPr>
    </w:p>
    <w:p w14:paraId="08831EC7" w14:textId="3EC87D12" w:rsidR="00702488" w:rsidRDefault="00702488"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Στο Παράρτημα </w:t>
      </w:r>
      <w:r>
        <w:rPr>
          <w:rFonts w:ascii="Bookman Old Style" w:hAnsi="Bookman Old Style"/>
          <w:kern w:val="0"/>
          <w:sz w:val="28"/>
          <w:szCs w:val="28"/>
          <w:lang w:val="en-US"/>
          <w14:ligatures w14:val="none"/>
        </w:rPr>
        <w:t>IV</w:t>
      </w:r>
      <w:r w:rsidRPr="00702488">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του Εγχειριδίου του Μέτρου 1.5 – το οποίο περιγράφει τα κριτήρια με βάση τα οποία η επένδυση σε μια εκμετάλλευση θα χαρακτηριζόταν ως βιώσιμη – γίνεται ρητή αναφορά, μεταξύ άλλων, στα στοιχεία της τελευταίας έκδοσης του </w:t>
      </w:r>
      <w:r>
        <w:rPr>
          <w:rFonts w:ascii="Bookman Old Style" w:hAnsi="Bookman Old Style"/>
          <w:kern w:val="0"/>
          <w:sz w:val="28"/>
          <w:szCs w:val="28"/>
          <w:lang w:val="en-US"/>
          <w14:ligatures w14:val="none"/>
        </w:rPr>
        <w:t>NORM</w:t>
      </w:r>
      <w:r w:rsidRPr="00702488">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Input</w:t>
      </w:r>
      <w:r w:rsidRPr="00702488">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w:t>
      </w:r>
      <w:r w:rsidRPr="00702488">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Output</w:t>
      </w:r>
      <w:r w:rsidRPr="00702488">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του ΙΓΕ, με την επιφύλαξη έκδοσης σχετικού καταλόγου σε σχέση με τις πληθωριστικές τάσεις.  Ρητή αναφορά γίνεται και σε ορισμένο ποσοστό απόκλισης της ακαθάριστης προ</w:t>
      </w:r>
      <w:r w:rsidR="00353F96">
        <w:rPr>
          <w:rFonts w:ascii="Bookman Old Style" w:hAnsi="Bookman Old Style"/>
          <w:kern w:val="0"/>
          <w:sz w:val="28"/>
          <w:szCs w:val="28"/>
          <w:lang w:val="el-GR"/>
          <w14:ligatures w14:val="none"/>
        </w:rPr>
        <w:t>σ</w:t>
      </w:r>
      <w:r>
        <w:rPr>
          <w:rFonts w:ascii="Bookman Old Style" w:hAnsi="Bookman Old Style"/>
          <w:kern w:val="0"/>
          <w:sz w:val="28"/>
          <w:szCs w:val="28"/>
          <w:lang w:val="el-GR"/>
          <w14:ligatures w14:val="none"/>
        </w:rPr>
        <w:t xml:space="preserve">όδου που θα καθοριζόταν μεταγενέστερα. </w:t>
      </w:r>
    </w:p>
    <w:p w14:paraId="2914037D" w14:textId="77777777" w:rsidR="00702488" w:rsidRDefault="00702488" w:rsidP="00C21501">
      <w:pPr>
        <w:spacing w:after="0" w:line="480" w:lineRule="auto"/>
        <w:ind w:firstLine="720"/>
        <w:jc w:val="both"/>
        <w:rPr>
          <w:rFonts w:ascii="Bookman Old Style" w:hAnsi="Bookman Old Style"/>
          <w:kern w:val="0"/>
          <w:sz w:val="28"/>
          <w:szCs w:val="28"/>
          <w:lang w:val="el-GR"/>
          <w14:ligatures w14:val="none"/>
        </w:rPr>
      </w:pPr>
    </w:p>
    <w:p w14:paraId="3A243486" w14:textId="18C5EA8A" w:rsidR="004F0CCC" w:rsidRDefault="00702488"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Είναι συνεπώς σαφές, ότι με βάση το σχετικό </w:t>
      </w:r>
      <w:r w:rsidR="00ED62CC">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γχειρίδιο, αποτελούσε βασικό κριτήριο</w:t>
      </w:r>
      <w:r w:rsidR="00353F96">
        <w:rPr>
          <w:rFonts w:ascii="Bookman Old Style" w:hAnsi="Bookman Old Style"/>
          <w:kern w:val="0"/>
          <w:sz w:val="28"/>
          <w:szCs w:val="28"/>
          <w:lang w:val="el-GR"/>
          <w14:ligatures w14:val="none"/>
        </w:rPr>
        <w:t>, προκειμένου</w:t>
      </w:r>
      <w:r>
        <w:rPr>
          <w:rFonts w:ascii="Bookman Old Style" w:hAnsi="Bookman Old Style"/>
          <w:kern w:val="0"/>
          <w:sz w:val="28"/>
          <w:szCs w:val="28"/>
          <w:lang w:val="el-GR"/>
          <w14:ligatures w14:val="none"/>
        </w:rPr>
        <w:t xml:space="preserve"> να χαρακτηρισθεί μια επένδυση ως βιώσιμη, ως και σε σχέση με τον τρόπο υπολογισμού για τον καθορισμό </w:t>
      </w:r>
      <w:r w:rsidR="004F0CCC">
        <w:rPr>
          <w:rFonts w:ascii="Bookman Old Style" w:hAnsi="Bookman Old Style"/>
          <w:kern w:val="0"/>
          <w:sz w:val="28"/>
          <w:szCs w:val="28"/>
          <w:lang w:val="el-GR"/>
          <w14:ligatures w14:val="none"/>
        </w:rPr>
        <w:t xml:space="preserve">της καθαρής ροής σε ένα σύστημα εισροών και εκροών, η χρησιμοποίηση των στοιχείων </w:t>
      </w:r>
      <w:r w:rsidR="004F0CCC">
        <w:rPr>
          <w:rFonts w:ascii="Bookman Old Style" w:hAnsi="Bookman Old Style"/>
          <w:kern w:val="0"/>
          <w:sz w:val="28"/>
          <w:szCs w:val="28"/>
          <w:lang w:val="en-US"/>
          <w14:ligatures w14:val="none"/>
        </w:rPr>
        <w:t>N</w:t>
      </w:r>
      <w:r w:rsidR="00ED62CC">
        <w:rPr>
          <w:rFonts w:ascii="Bookman Old Style" w:hAnsi="Bookman Old Style"/>
          <w:kern w:val="0"/>
          <w:sz w:val="28"/>
          <w:szCs w:val="28"/>
          <w:lang w:val="en-US"/>
          <w14:ligatures w14:val="none"/>
        </w:rPr>
        <w:t>ORM</w:t>
      </w:r>
      <w:r w:rsidR="004F0CCC" w:rsidRPr="004F0CCC">
        <w:rPr>
          <w:rFonts w:ascii="Bookman Old Style" w:hAnsi="Bookman Old Style"/>
          <w:kern w:val="0"/>
          <w:sz w:val="28"/>
          <w:szCs w:val="28"/>
          <w:lang w:val="el-GR"/>
          <w14:ligatures w14:val="none"/>
        </w:rPr>
        <w:t xml:space="preserve"> </w:t>
      </w:r>
      <w:r w:rsidR="004F0CCC">
        <w:rPr>
          <w:rFonts w:ascii="Bookman Old Style" w:hAnsi="Bookman Old Style"/>
          <w:kern w:val="0"/>
          <w:sz w:val="28"/>
          <w:szCs w:val="28"/>
          <w:lang w:val="en-US"/>
          <w14:ligatures w14:val="none"/>
        </w:rPr>
        <w:t>Input</w:t>
      </w:r>
      <w:r w:rsidR="004F0CCC" w:rsidRPr="004F0CCC">
        <w:rPr>
          <w:rFonts w:ascii="Bookman Old Style" w:hAnsi="Bookman Old Style"/>
          <w:kern w:val="0"/>
          <w:sz w:val="28"/>
          <w:szCs w:val="28"/>
          <w:lang w:val="el-GR"/>
          <w14:ligatures w14:val="none"/>
        </w:rPr>
        <w:t xml:space="preserve"> </w:t>
      </w:r>
      <w:r w:rsidR="004F0CCC">
        <w:rPr>
          <w:rFonts w:ascii="Bookman Old Style" w:hAnsi="Bookman Old Style"/>
          <w:kern w:val="0"/>
          <w:sz w:val="28"/>
          <w:szCs w:val="28"/>
          <w:lang w:val="el-GR"/>
          <w14:ligatures w14:val="none"/>
        </w:rPr>
        <w:t>–</w:t>
      </w:r>
      <w:r w:rsidR="004F0CCC" w:rsidRPr="004F0CCC">
        <w:rPr>
          <w:rFonts w:ascii="Bookman Old Style" w:hAnsi="Bookman Old Style"/>
          <w:kern w:val="0"/>
          <w:sz w:val="28"/>
          <w:szCs w:val="28"/>
          <w:lang w:val="el-GR"/>
          <w14:ligatures w14:val="none"/>
        </w:rPr>
        <w:t xml:space="preserve"> </w:t>
      </w:r>
      <w:r w:rsidR="004F0CCC">
        <w:rPr>
          <w:rFonts w:ascii="Bookman Old Style" w:hAnsi="Bookman Old Style"/>
          <w:kern w:val="0"/>
          <w:sz w:val="28"/>
          <w:szCs w:val="28"/>
          <w:lang w:val="en-US"/>
          <w14:ligatures w14:val="none"/>
        </w:rPr>
        <w:t>Output</w:t>
      </w:r>
      <w:r w:rsidR="004F0CCC" w:rsidRPr="004F0CCC">
        <w:rPr>
          <w:rFonts w:ascii="Bookman Old Style" w:hAnsi="Bookman Old Style"/>
          <w:kern w:val="0"/>
          <w:sz w:val="28"/>
          <w:szCs w:val="28"/>
          <w:lang w:val="el-GR"/>
          <w14:ligatures w14:val="none"/>
        </w:rPr>
        <w:t xml:space="preserve"> </w:t>
      </w:r>
      <w:r w:rsidR="004F0CCC">
        <w:rPr>
          <w:rFonts w:ascii="Bookman Old Style" w:hAnsi="Bookman Old Style"/>
          <w:kern w:val="0"/>
          <w:sz w:val="28"/>
          <w:szCs w:val="28"/>
          <w:lang w:val="el-GR"/>
          <w14:ligatures w14:val="none"/>
        </w:rPr>
        <w:t>του ΙΓΕ.</w:t>
      </w:r>
    </w:p>
    <w:p w14:paraId="033C8C86" w14:textId="77777777" w:rsidR="004F0CCC" w:rsidRDefault="004F0CCC" w:rsidP="00C21501">
      <w:pPr>
        <w:spacing w:after="0" w:line="480" w:lineRule="auto"/>
        <w:ind w:firstLine="720"/>
        <w:jc w:val="both"/>
        <w:rPr>
          <w:rFonts w:ascii="Bookman Old Style" w:hAnsi="Bookman Old Style"/>
          <w:kern w:val="0"/>
          <w:sz w:val="28"/>
          <w:szCs w:val="28"/>
          <w:lang w:val="el-GR"/>
          <w14:ligatures w14:val="none"/>
        </w:rPr>
      </w:pPr>
    </w:p>
    <w:p w14:paraId="1F058F2D" w14:textId="49BA002A" w:rsidR="003F07D6" w:rsidRDefault="004F0CCC"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Το γεγονός ότι κατά το χρόνο υποβολής των αιτήσεων του Εφεσείοντα δεν είχαν δημοσιευθεί τα στοιχεία </w:t>
      </w:r>
      <w:r>
        <w:rPr>
          <w:rFonts w:ascii="Bookman Old Style" w:hAnsi="Bookman Old Style"/>
          <w:kern w:val="0"/>
          <w:sz w:val="28"/>
          <w:szCs w:val="28"/>
          <w:lang w:val="en-US"/>
          <w14:ligatures w14:val="none"/>
        </w:rPr>
        <w:t>NORM</w:t>
      </w:r>
      <w:r w:rsidRPr="004F0CCC">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του ΙΓΕ που αφορούσαν συγκεκριμένα την κονικλοτροφία, κρίνουμε πως δεν αποτελεί παραβίαση του Εγχειριδίου, ως</w:t>
      </w:r>
      <w:r w:rsidR="00353F96">
        <w:rPr>
          <w:rFonts w:ascii="Bookman Old Style" w:hAnsi="Bookman Old Style"/>
          <w:kern w:val="0"/>
          <w:sz w:val="28"/>
          <w:szCs w:val="28"/>
          <w:lang w:val="el-GR"/>
          <w14:ligatures w14:val="none"/>
        </w:rPr>
        <w:t xml:space="preserve"> είναι</w:t>
      </w:r>
      <w:r>
        <w:rPr>
          <w:rFonts w:ascii="Bookman Old Style" w:hAnsi="Bookman Old Style"/>
          <w:kern w:val="0"/>
          <w:sz w:val="28"/>
          <w:szCs w:val="28"/>
          <w:lang w:val="el-GR"/>
          <w14:ligatures w14:val="none"/>
        </w:rPr>
        <w:t xml:space="preserve"> η εισήγηση του ευπαίδευτου συνηγόρου του Εφεσείοντα.  Τούτο γιατί</w:t>
      </w:r>
      <w:r w:rsidR="00353F96">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αφενός στο Εγχειρίδιο γίνεται ρητή αναφορά στα εν λόγω στοιχεία του ΙΓΕ, ως και σε ποσοστό απόκλισης και αφετέρου γιατί καμιά υποχρέωση προκύπτει από το Εγχειρίδιο που να εξαναγκάζει τις αρμόδιες αρχές να θέτουν ενώπιον του διαπιστευμένου φορέα των αιτητών τα εν λόγω στοιχεία, για σκοπούς </w:t>
      </w:r>
      <w:r w:rsidR="003F07D6">
        <w:rPr>
          <w:rFonts w:ascii="Bookman Old Style" w:hAnsi="Bookman Old Style"/>
          <w:kern w:val="0"/>
          <w:sz w:val="28"/>
          <w:szCs w:val="28"/>
          <w:lang w:val="el-GR"/>
          <w14:ligatures w14:val="none"/>
        </w:rPr>
        <w:t>ετοιμασίας της μελέτης βιωσιμότητας.  Καθήκον του Εφεσείοντα (μέσω του διαπιστευμένου φορέα) ήταν να παρουσιάσει την αντιπροσωπευτική εικόνα των οικονομικών στοιχείων της επιχείρησης του, ικανή να τεκμηριώσει την οικονομική βιωσιμότητα των αιτήσεων του και υπόκειτο σ</w:t>
      </w:r>
      <w:r w:rsidR="00353F96">
        <w:rPr>
          <w:rFonts w:ascii="Bookman Old Style" w:hAnsi="Bookman Old Style"/>
          <w:kern w:val="0"/>
          <w:sz w:val="28"/>
          <w:szCs w:val="28"/>
          <w:lang w:val="el-GR"/>
          <w14:ligatures w14:val="none"/>
        </w:rPr>
        <w:t>τη</w:t>
      </w:r>
      <w:r w:rsidR="003F07D6">
        <w:rPr>
          <w:rFonts w:ascii="Bookman Old Style" w:hAnsi="Bookman Old Style"/>
          <w:kern w:val="0"/>
          <w:sz w:val="28"/>
          <w:szCs w:val="28"/>
          <w:lang w:val="el-GR"/>
          <w14:ligatures w14:val="none"/>
        </w:rPr>
        <w:t xml:space="preserve"> διαδικασία αξιολόγησης που καθορίζεται στο σχετικό </w:t>
      </w:r>
      <w:r w:rsidR="00353F96">
        <w:rPr>
          <w:rFonts w:ascii="Bookman Old Style" w:hAnsi="Bookman Old Style"/>
          <w:kern w:val="0"/>
          <w:sz w:val="28"/>
          <w:szCs w:val="28"/>
          <w:lang w:val="el-GR"/>
          <w14:ligatures w14:val="none"/>
        </w:rPr>
        <w:t>Ε</w:t>
      </w:r>
      <w:r w:rsidR="003F07D6">
        <w:rPr>
          <w:rFonts w:ascii="Bookman Old Style" w:hAnsi="Bookman Old Style"/>
          <w:kern w:val="0"/>
          <w:sz w:val="28"/>
          <w:szCs w:val="28"/>
          <w:lang w:val="el-GR"/>
          <w14:ligatures w14:val="none"/>
        </w:rPr>
        <w:t xml:space="preserve">γχειρίδιο. </w:t>
      </w:r>
    </w:p>
    <w:p w14:paraId="7AFE43CE" w14:textId="77777777" w:rsidR="003F07D6" w:rsidRDefault="003F07D6" w:rsidP="00C21501">
      <w:pPr>
        <w:spacing w:after="0" w:line="480" w:lineRule="auto"/>
        <w:ind w:firstLine="720"/>
        <w:jc w:val="both"/>
        <w:rPr>
          <w:rFonts w:ascii="Bookman Old Style" w:hAnsi="Bookman Old Style"/>
          <w:kern w:val="0"/>
          <w:sz w:val="28"/>
          <w:szCs w:val="28"/>
          <w:lang w:val="el-GR"/>
          <w14:ligatures w14:val="none"/>
        </w:rPr>
      </w:pPr>
    </w:p>
    <w:p w14:paraId="44FD0DB3" w14:textId="4CC12721" w:rsidR="00AB5165" w:rsidRPr="00A21A76" w:rsidRDefault="003F07D6" w:rsidP="00C21501">
      <w:pPr>
        <w:spacing w:after="0" w:line="480" w:lineRule="auto"/>
        <w:ind w:firstLine="720"/>
        <w:jc w:val="both"/>
        <w:rPr>
          <w:rFonts w:ascii="Bookman Old Style" w:hAnsi="Bookman Old Style"/>
          <w:i/>
          <w:iCs/>
          <w:kern w:val="0"/>
          <w:sz w:val="28"/>
          <w:szCs w:val="28"/>
          <w:lang w:val="el-GR"/>
          <w14:ligatures w14:val="none"/>
        </w:rPr>
      </w:pPr>
      <w:r>
        <w:rPr>
          <w:rFonts w:ascii="Bookman Old Style" w:hAnsi="Bookman Old Style"/>
          <w:kern w:val="0"/>
          <w:sz w:val="28"/>
          <w:szCs w:val="28"/>
          <w:lang w:val="el-GR"/>
          <w14:ligatures w14:val="none"/>
        </w:rPr>
        <w:t>Συνακόλουθα, με δεδομένη την</w:t>
      </w:r>
      <w:r w:rsidR="00ED62CC" w:rsidRPr="00ED62CC">
        <w:rPr>
          <w:rFonts w:ascii="Bookman Old Style" w:hAnsi="Bookman Old Style"/>
          <w:kern w:val="0"/>
          <w:sz w:val="28"/>
          <w:szCs w:val="28"/>
          <w:lang w:val="el-GR"/>
          <w14:ligatures w14:val="none"/>
        </w:rPr>
        <w:t xml:space="preserve"> </w:t>
      </w:r>
      <w:r w:rsidR="00ED62CC">
        <w:rPr>
          <w:rFonts w:ascii="Bookman Old Style" w:hAnsi="Bookman Old Style"/>
          <w:kern w:val="0"/>
          <w:sz w:val="28"/>
          <w:szCs w:val="28"/>
          <w:lang w:val="el-GR"/>
          <w14:ligatures w14:val="none"/>
        </w:rPr>
        <w:t>προκαθορισθείσα δυνατότητα</w:t>
      </w:r>
      <w:r>
        <w:rPr>
          <w:rFonts w:ascii="Bookman Old Style" w:hAnsi="Bookman Old Style"/>
          <w:kern w:val="0"/>
          <w:sz w:val="28"/>
          <w:szCs w:val="28"/>
          <w:lang w:val="el-GR"/>
          <w14:ligatures w14:val="none"/>
        </w:rPr>
        <w:t xml:space="preserve">  απόκλιση</w:t>
      </w:r>
      <w:r w:rsidR="00ED62CC">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w:t>
      </w:r>
      <w:r w:rsidR="00ED62CC">
        <w:rPr>
          <w:rFonts w:ascii="Bookman Old Style" w:hAnsi="Bookman Old Style"/>
          <w:kern w:val="0"/>
          <w:sz w:val="28"/>
          <w:szCs w:val="28"/>
          <w:lang w:val="el-GR"/>
          <w14:ligatures w14:val="none"/>
        </w:rPr>
        <w:t xml:space="preserve">στο </w:t>
      </w:r>
      <w:r>
        <w:rPr>
          <w:rFonts w:ascii="Bookman Old Style" w:hAnsi="Bookman Old Style"/>
          <w:kern w:val="0"/>
          <w:sz w:val="28"/>
          <w:szCs w:val="28"/>
          <w:lang w:val="el-GR"/>
          <w14:ligatures w14:val="none"/>
        </w:rPr>
        <w:t>10%</w:t>
      </w:r>
      <w:r w:rsidR="00ED62CC">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ως και τον υπολογισμό εκ μέρους των αρμοδίων αρχών, απόκλισης των εσόδων των αιτήσεων</w:t>
      </w:r>
      <w:r w:rsidR="00353F96">
        <w:rPr>
          <w:rFonts w:ascii="Bookman Old Style" w:hAnsi="Bookman Old Style"/>
          <w:kern w:val="0"/>
          <w:sz w:val="28"/>
          <w:szCs w:val="28"/>
          <w:lang w:val="el-GR"/>
          <w14:ligatures w14:val="none"/>
        </w:rPr>
        <w:t xml:space="preserve"> του Εφεσείοντα, </w:t>
      </w:r>
      <w:r>
        <w:rPr>
          <w:rFonts w:ascii="Bookman Old Style" w:hAnsi="Bookman Old Style"/>
          <w:kern w:val="0"/>
          <w:sz w:val="28"/>
          <w:szCs w:val="28"/>
          <w:lang w:val="el-GR"/>
          <w14:ligatures w14:val="none"/>
        </w:rPr>
        <w:t xml:space="preserve"> σε σχέση με τα καθορισμένα έσοδα από τον ΙΓΕ στο +66,56%, - σύμφωνα με την επιστολή της Εφεσίβλητης προς τον Εφεσείοντα ημερ. 14.4.2011 – καταλήγουμε πως η Εφεσίβλητη, στα πλαίσια της ευρείας διακριτικής της ευχέρειας και κατόπιν επαρκούς δέουσας έρευνας, ορθά έκρινε ως μη βιώσιμο το Σχέδιο Βελτίωσης του Εφεσείοντα</w:t>
      </w:r>
      <w:r w:rsidR="00353F96">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w:t>
      </w:r>
      <w:r w:rsidR="00353F96">
        <w:rPr>
          <w:rFonts w:ascii="Bookman Old Style" w:hAnsi="Bookman Old Style"/>
          <w:kern w:val="0"/>
          <w:sz w:val="28"/>
          <w:szCs w:val="28"/>
          <w:lang w:val="el-GR"/>
          <w14:ligatures w14:val="none"/>
        </w:rPr>
        <w:t>Π</w:t>
      </w:r>
      <w:r>
        <w:rPr>
          <w:rFonts w:ascii="Bookman Old Style" w:hAnsi="Bookman Old Style"/>
          <w:kern w:val="0"/>
          <w:sz w:val="28"/>
          <w:szCs w:val="28"/>
          <w:lang w:val="el-GR"/>
          <w14:ligatures w14:val="none"/>
        </w:rPr>
        <w:t>εραιτέρω, όπως ορθά επισημάνθηκ</w:t>
      </w:r>
      <w:r w:rsidR="00353F96">
        <w:rPr>
          <w:rFonts w:ascii="Bookman Old Style" w:hAnsi="Bookman Old Style"/>
          <w:kern w:val="0"/>
          <w:sz w:val="28"/>
          <w:szCs w:val="28"/>
          <w:lang w:val="el-GR"/>
          <w14:ligatures w14:val="none"/>
        </w:rPr>
        <w:t>ε</w:t>
      </w:r>
      <w:r>
        <w:rPr>
          <w:rFonts w:ascii="Bookman Old Style" w:hAnsi="Bookman Old Style"/>
          <w:kern w:val="0"/>
          <w:sz w:val="28"/>
          <w:szCs w:val="28"/>
          <w:lang w:val="el-GR"/>
          <w14:ligatures w14:val="none"/>
        </w:rPr>
        <w:t xml:space="preserve"> και στη σύσκεψη της Επιτροπής </w:t>
      </w:r>
      <w:r w:rsidR="00702488">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Ενστάσεων ημερ. 16.4.2013 «</w:t>
      </w:r>
      <w:r w:rsidR="00353F96">
        <w:rPr>
          <w:rFonts w:ascii="Bookman Old Style" w:hAnsi="Bookman Old Style"/>
          <w:i/>
          <w:iCs/>
          <w:kern w:val="0"/>
          <w:sz w:val="28"/>
          <w:szCs w:val="28"/>
          <w:lang w:val="el-GR"/>
          <w14:ligatures w14:val="none"/>
        </w:rPr>
        <w:t>Η</w:t>
      </w:r>
      <w:r w:rsidRPr="00A21A76">
        <w:rPr>
          <w:rFonts w:ascii="Bookman Old Style" w:hAnsi="Bookman Old Style"/>
          <w:i/>
          <w:iCs/>
          <w:kern w:val="0"/>
          <w:sz w:val="28"/>
          <w:szCs w:val="28"/>
          <w:lang w:val="el-GR"/>
          <w14:ligatures w14:val="none"/>
        </w:rPr>
        <w:t xml:space="preserve"> χρησιμοποίηση</w:t>
      </w:r>
      <w:r w:rsidR="00AB5165" w:rsidRPr="00A21A76">
        <w:rPr>
          <w:rFonts w:ascii="Bookman Old Style" w:hAnsi="Bookman Old Style"/>
          <w:i/>
          <w:iCs/>
          <w:kern w:val="0"/>
          <w:sz w:val="28"/>
          <w:szCs w:val="28"/>
          <w:lang w:val="el-GR"/>
          <w14:ligatures w14:val="none"/>
        </w:rPr>
        <w:t xml:space="preserve"> στοιχείων αξιολόγησης των Σχεδίων Βελτίωσης από άλλες πηγές και άλλων ημερομηνιών δεν εμπίπτει στη διαδικασία που περιγράφεται στο Εγχειρίδιο Εφαρμογής τ</w:t>
      </w:r>
      <w:r w:rsidR="00A21A76" w:rsidRPr="00A21A76">
        <w:rPr>
          <w:rFonts w:ascii="Bookman Old Style" w:hAnsi="Bookman Old Style"/>
          <w:i/>
          <w:iCs/>
          <w:kern w:val="0"/>
          <w:sz w:val="28"/>
          <w:szCs w:val="28"/>
          <w:lang w:val="el-GR"/>
          <w14:ligatures w14:val="none"/>
        </w:rPr>
        <w:t>ο</w:t>
      </w:r>
      <w:r w:rsidR="00AB5165" w:rsidRPr="00A21A76">
        <w:rPr>
          <w:rFonts w:ascii="Bookman Old Style" w:hAnsi="Bookman Old Style"/>
          <w:i/>
          <w:iCs/>
          <w:kern w:val="0"/>
          <w:sz w:val="28"/>
          <w:szCs w:val="28"/>
          <w:lang w:val="el-GR"/>
          <w14:ligatures w14:val="none"/>
        </w:rPr>
        <w:t>υ Καθεστώτος, δεν ε</w:t>
      </w:r>
      <w:r w:rsidR="00A21A76" w:rsidRPr="00A21A76">
        <w:rPr>
          <w:rFonts w:ascii="Bookman Old Style" w:hAnsi="Bookman Old Style"/>
          <w:i/>
          <w:iCs/>
          <w:kern w:val="0"/>
          <w:sz w:val="28"/>
          <w:szCs w:val="28"/>
          <w:lang w:val="el-GR"/>
          <w14:ligatures w14:val="none"/>
        </w:rPr>
        <w:t>φαρμόστηκε για κανένα άλλο αιτητή, γεγονός που θα οδηγούσε στην ευμενή διάκριση υπέρ του συγκεκριμένου αιτητή και ουσιαστικά θα οδηγούσε σε συνολική αμφισβήτηση των στοιχείων εισροών – εκροών που χρησιμοποιούνται για αξιολόγηση όλων των Σχεδίων Βελτίωσης.»</w:t>
      </w:r>
    </w:p>
    <w:p w14:paraId="0DDD7683" w14:textId="77777777" w:rsidR="00AB5165" w:rsidRDefault="00AB5165" w:rsidP="00C21501">
      <w:pPr>
        <w:spacing w:after="0" w:line="480" w:lineRule="auto"/>
        <w:ind w:firstLine="720"/>
        <w:jc w:val="both"/>
        <w:rPr>
          <w:rFonts w:ascii="Bookman Old Style" w:hAnsi="Bookman Old Style"/>
          <w:kern w:val="0"/>
          <w:sz w:val="28"/>
          <w:szCs w:val="28"/>
          <w:lang w:val="el-GR"/>
          <w14:ligatures w14:val="none"/>
        </w:rPr>
      </w:pPr>
    </w:p>
    <w:p w14:paraId="57971BC0" w14:textId="08587378" w:rsidR="00353F96" w:rsidRDefault="00353F96" w:rsidP="00C21501">
      <w:pPr>
        <w:spacing w:after="0" w:line="480" w:lineRule="auto"/>
        <w:ind w:firstLine="720"/>
        <w:jc w:val="both"/>
        <w:rPr>
          <w:rFonts w:ascii="Bookman Old Style" w:hAnsi="Bookman Old Style"/>
          <w:b/>
          <w:bCs/>
          <w:i/>
          <w:iCs/>
          <w:kern w:val="0"/>
          <w:sz w:val="28"/>
          <w:szCs w:val="28"/>
          <w:lang w:val="el-GR"/>
          <w14:ligatures w14:val="none"/>
        </w:rPr>
      </w:pPr>
      <w:r>
        <w:rPr>
          <w:rFonts w:ascii="Bookman Old Style" w:hAnsi="Bookman Old Style"/>
          <w:kern w:val="0"/>
          <w:sz w:val="28"/>
          <w:szCs w:val="28"/>
          <w:lang w:val="el-GR"/>
          <w14:ligatures w14:val="none"/>
        </w:rPr>
        <w:t>Σε ό,τι αφορά την υποχρέωση της διοίκησης να ακολουθεί, κατά την άσκηση της διακριτικής της ευχέρειας</w:t>
      </w:r>
      <w:r w:rsidR="00ED62CC">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ενιαίο μέτρο κρίσης και να υιοθετεί σταθερά κριτήρια για όλους τους διοικούμενους</w:t>
      </w:r>
      <w:r w:rsidR="00ED62CC">
        <w:rPr>
          <w:rFonts w:ascii="Bookman Old Style" w:hAnsi="Bookman Old Style"/>
          <w:kern w:val="0"/>
          <w:sz w:val="28"/>
          <w:szCs w:val="28"/>
          <w:lang w:val="el-GR"/>
          <w14:ligatures w14:val="none"/>
        </w:rPr>
        <w:t>,</w:t>
      </w:r>
      <w:r>
        <w:rPr>
          <w:rFonts w:ascii="Bookman Old Style" w:hAnsi="Bookman Old Style"/>
          <w:kern w:val="0"/>
          <w:sz w:val="28"/>
          <w:szCs w:val="28"/>
          <w:lang w:val="el-GR"/>
          <w14:ligatures w14:val="none"/>
        </w:rPr>
        <w:t xml:space="preserve"> εξασφαλίζοντας ομοιόμορφη διοικητική λειτουργία και ίση μεταχείριση τους – όπως ορθά </w:t>
      </w:r>
      <w:r w:rsidR="00ED62CC">
        <w:rPr>
          <w:rFonts w:ascii="Bookman Old Style" w:hAnsi="Bookman Old Style"/>
          <w:kern w:val="0"/>
          <w:sz w:val="28"/>
          <w:szCs w:val="28"/>
          <w:lang w:val="el-GR"/>
          <w14:ligatures w14:val="none"/>
        </w:rPr>
        <w:t xml:space="preserve">η Εφεσίβλητη </w:t>
      </w:r>
      <w:r>
        <w:rPr>
          <w:rFonts w:ascii="Bookman Old Style" w:hAnsi="Bookman Old Style"/>
          <w:kern w:val="0"/>
          <w:sz w:val="28"/>
          <w:szCs w:val="28"/>
          <w:lang w:val="el-GR"/>
          <w14:ligatures w14:val="none"/>
        </w:rPr>
        <w:t xml:space="preserve">έπραξε και στην προκειμένη περίπτωση – σχετικό είναι το ακόλουθο απόσπασμα από τις σελ. 313-314 του </w:t>
      </w:r>
      <w:r w:rsidRPr="00ED62CC">
        <w:rPr>
          <w:rFonts w:ascii="Bookman Old Style" w:hAnsi="Bookman Old Style"/>
          <w:b/>
          <w:bCs/>
          <w:i/>
          <w:iCs/>
          <w:kern w:val="0"/>
          <w:sz w:val="28"/>
          <w:szCs w:val="28"/>
          <w:lang w:val="el-GR"/>
          <w14:ligatures w14:val="none"/>
        </w:rPr>
        <w:t>Συγγράμματος του Ν. Χρ. Χαραλάμπους</w:t>
      </w:r>
      <w:r w:rsidR="00ED62CC">
        <w:rPr>
          <w:rFonts w:ascii="Bookman Old Style" w:hAnsi="Bookman Old Style"/>
          <w:b/>
          <w:bCs/>
          <w:i/>
          <w:iCs/>
          <w:kern w:val="0"/>
          <w:sz w:val="28"/>
          <w:szCs w:val="28"/>
          <w:lang w:val="el-GR"/>
          <w14:ligatures w14:val="none"/>
        </w:rPr>
        <w:t>,</w:t>
      </w:r>
      <w:r>
        <w:rPr>
          <w:rFonts w:ascii="Bookman Old Style" w:hAnsi="Bookman Old Style"/>
          <w:b/>
          <w:bCs/>
          <w:i/>
          <w:iCs/>
          <w:kern w:val="0"/>
          <w:sz w:val="28"/>
          <w:szCs w:val="28"/>
          <w:lang w:val="el-GR"/>
          <w14:ligatures w14:val="none"/>
        </w:rPr>
        <w:t xml:space="preserve"> Η Δράση και ο Έλεγχος της Δημόσιας Διοίκησης (2</w:t>
      </w:r>
      <w:r w:rsidRPr="00353F96">
        <w:rPr>
          <w:rFonts w:ascii="Bookman Old Style" w:hAnsi="Bookman Old Style"/>
          <w:b/>
          <w:bCs/>
          <w:i/>
          <w:iCs/>
          <w:kern w:val="0"/>
          <w:sz w:val="28"/>
          <w:szCs w:val="28"/>
          <w:vertAlign w:val="superscript"/>
          <w:lang w:val="el-GR"/>
          <w14:ligatures w14:val="none"/>
        </w:rPr>
        <w:t>η</w:t>
      </w:r>
      <w:r>
        <w:rPr>
          <w:rFonts w:ascii="Bookman Old Style" w:hAnsi="Bookman Old Style"/>
          <w:b/>
          <w:bCs/>
          <w:i/>
          <w:iCs/>
          <w:kern w:val="0"/>
          <w:sz w:val="28"/>
          <w:szCs w:val="28"/>
          <w:lang w:val="el-GR"/>
          <w14:ligatures w14:val="none"/>
        </w:rPr>
        <w:t xml:space="preserve"> έκδοση, αναθεωρημένη και συμπληρωμένη) 2004:</w:t>
      </w:r>
    </w:p>
    <w:p w14:paraId="2FD23A55" w14:textId="77777777" w:rsidR="00BF7A09" w:rsidRDefault="00BF7A09" w:rsidP="00BF7A09">
      <w:pPr>
        <w:spacing w:after="0" w:line="240" w:lineRule="auto"/>
        <w:ind w:left="567"/>
        <w:jc w:val="both"/>
        <w:rPr>
          <w:rFonts w:ascii="Bookman Old Style" w:hAnsi="Bookman Old Style"/>
          <w:b/>
          <w:bCs/>
          <w:kern w:val="0"/>
          <w:sz w:val="28"/>
          <w:szCs w:val="28"/>
          <w:lang w:val="el-GR"/>
          <w14:ligatures w14:val="none"/>
        </w:rPr>
      </w:pPr>
    </w:p>
    <w:p w14:paraId="4D71416F" w14:textId="6F79D44B" w:rsidR="00353F96" w:rsidRDefault="00353F96" w:rsidP="00BF7A09">
      <w:pPr>
        <w:spacing w:after="0" w:line="240" w:lineRule="auto"/>
        <w:ind w:left="567"/>
        <w:jc w:val="both"/>
        <w:rPr>
          <w:rFonts w:ascii="Bookman Old Style" w:hAnsi="Bookman Old Style"/>
          <w:i/>
          <w:iCs/>
          <w:kern w:val="0"/>
          <w:sz w:val="28"/>
          <w:szCs w:val="28"/>
          <w:lang w:val="el-GR"/>
          <w14:ligatures w14:val="none"/>
        </w:rPr>
      </w:pPr>
      <w:r>
        <w:rPr>
          <w:rFonts w:ascii="Bookman Old Style" w:hAnsi="Bookman Old Style"/>
          <w:b/>
          <w:bCs/>
          <w:kern w:val="0"/>
          <w:sz w:val="28"/>
          <w:szCs w:val="28"/>
          <w:lang w:val="el-GR"/>
          <w14:ligatures w14:val="none"/>
        </w:rPr>
        <w:t>«</w:t>
      </w:r>
      <w:r>
        <w:rPr>
          <w:rFonts w:ascii="Bookman Old Style" w:hAnsi="Bookman Old Style"/>
          <w:i/>
          <w:iCs/>
          <w:kern w:val="0"/>
          <w:sz w:val="28"/>
          <w:szCs w:val="28"/>
          <w:lang w:val="el-GR"/>
          <w14:ligatures w14:val="none"/>
        </w:rPr>
        <w:t>Η άσκηση της διακριτικής εξουσίας με βάση γενική πολιτική και κριτήρια, που έχουν προκαθοριστεί, υποβοηθεί το αρμόδιο όργανο να ακολουθεί στην άσκηση της διακριτικής του εξουσίας ενιαίο μέτρο κρίσης.  Η υιοθέτηση σταθερών κριτηρίων αποτελεί σύννομη και παραδεκτή πρακτική, νοουμένου ότι δεν υπεισέρχονται εξωγενείς παράγοντες στον καθορισμό τους.  Αφού καθοριστούν τα κριτήρια, η διοίκηση δεσμεύεται να τα τηρήσει</w:t>
      </w:r>
      <w:r w:rsidR="00BF7A09">
        <w:rPr>
          <w:rFonts w:ascii="Bookman Old Style" w:hAnsi="Bookman Old Style"/>
          <w:i/>
          <w:iCs/>
          <w:kern w:val="0"/>
          <w:sz w:val="28"/>
          <w:szCs w:val="28"/>
          <w:lang w:val="el-GR"/>
          <w14:ligatures w14:val="none"/>
        </w:rPr>
        <w:t>.</w:t>
      </w:r>
      <w:r>
        <w:rPr>
          <w:rFonts w:ascii="Bookman Old Style" w:hAnsi="Bookman Old Style"/>
          <w:i/>
          <w:iCs/>
          <w:kern w:val="0"/>
          <w:sz w:val="28"/>
          <w:szCs w:val="28"/>
          <w:lang w:val="el-GR"/>
          <w14:ligatures w14:val="none"/>
        </w:rPr>
        <w:t xml:space="preserve">  Απόκλιση χωρεί μόνο όπου αποχρώντες λόγοι δικαιολογούν τέτοια ενέργεια και δεδομένου ότι παρέχεται επαρκής αιτιολογία για μια τέτοια ενέργεια.  Έχει υποδειχθεί από τη νομολογία του Ανωτάτου Δικαστηρίου ότι ο καθορισμός διοικητικής πολιτικής «εξασφαλίζει το πλεονέκτημα της ομοιόμορφης διοικητικής λειτουργίας και της ίσης μεταχείρισης»</w:t>
      </w:r>
      <w:r w:rsidR="00BF7A09">
        <w:rPr>
          <w:rFonts w:ascii="Bookman Old Style" w:hAnsi="Bookman Old Style"/>
          <w:i/>
          <w:iCs/>
          <w:kern w:val="0"/>
          <w:sz w:val="28"/>
          <w:szCs w:val="28"/>
          <w:lang w:val="el-GR"/>
          <w14:ligatures w14:val="none"/>
        </w:rPr>
        <w:t>.</w:t>
      </w:r>
    </w:p>
    <w:p w14:paraId="43E78B8E" w14:textId="77777777" w:rsidR="00BF7A09" w:rsidRDefault="00BF7A09" w:rsidP="00BF7A09">
      <w:pPr>
        <w:spacing w:after="0" w:line="240" w:lineRule="auto"/>
        <w:ind w:left="567"/>
        <w:jc w:val="both"/>
        <w:rPr>
          <w:rFonts w:ascii="Bookman Old Style" w:hAnsi="Bookman Old Style"/>
          <w:i/>
          <w:iCs/>
          <w:kern w:val="0"/>
          <w:sz w:val="28"/>
          <w:szCs w:val="28"/>
          <w:lang w:val="el-GR"/>
          <w14:ligatures w14:val="none"/>
        </w:rPr>
      </w:pPr>
    </w:p>
    <w:p w14:paraId="7D811687" w14:textId="4777DED1" w:rsidR="00BF7A09" w:rsidRPr="00ED62CC" w:rsidRDefault="00BF7A09" w:rsidP="00BF7A09">
      <w:pPr>
        <w:spacing w:after="0" w:line="240" w:lineRule="auto"/>
        <w:ind w:left="567"/>
        <w:jc w:val="both"/>
        <w:rPr>
          <w:rFonts w:ascii="Bookman Old Style" w:hAnsi="Bookman Old Style"/>
          <w:kern w:val="0"/>
          <w:sz w:val="28"/>
          <w:szCs w:val="28"/>
          <w:lang w:val="el-GR"/>
          <w14:ligatures w14:val="none"/>
        </w:rPr>
      </w:pPr>
      <w:r>
        <w:rPr>
          <w:rFonts w:ascii="Bookman Old Style" w:hAnsi="Bookman Old Style"/>
          <w:i/>
          <w:iCs/>
          <w:kern w:val="0"/>
          <w:sz w:val="28"/>
          <w:szCs w:val="28"/>
          <w:lang w:val="el-GR"/>
          <w14:ligatures w14:val="none"/>
        </w:rPr>
        <w:t xml:space="preserve">(βλ. </w:t>
      </w:r>
      <w:r w:rsidRPr="00BF7A09">
        <w:rPr>
          <w:rFonts w:ascii="Bookman Old Style" w:hAnsi="Bookman Old Style"/>
          <w:b/>
          <w:bCs/>
          <w:i/>
          <w:iCs/>
          <w:kern w:val="0"/>
          <w:sz w:val="28"/>
          <w:szCs w:val="28"/>
          <w:lang w:val="el-GR"/>
          <w14:ligatures w14:val="none"/>
        </w:rPr>
        <w:t>Σελεάρης ν. Δημοκρατίας (1999) 3 ΑΑΔ 602, 608</w:t>
      </w:r>
      <w:r>
        <w:rPr>
          <w:rFonts w:ascii="Bookman Old Style" w:hAnsi="Bookman Old Style"/>
          <w:i/>
          <w:iCs/>
          <w:kern w:val="0"/>
          <w:sz w:val="28"/>
          <w:szCs w:val="28"/>
          <w:lang w:val="el-GR"/>
          <w14:ligatures w14:val="none"/>
        </w:rPr>
        <w:t xml:space="preserve"> </w:t>
      </w:r>
      <w:r>
        <w:rPr>
          <w:rFonts w:ascii="Bookman Old Style" w:hAnsi="Bookman Old Style"/>
          <w:kern w:val="0"/>
          <w:sz w:val="28"/>
          <w:szCs w:val="28"/>
          <w:lang w:val="el-GR"/>
          <w14:ligatures w14:val="none"/>
        </w:rPr>
        <w:t xml:space="preserve">και </w:t>
      </w:r>
      <w:r w:rsidRPr="00BF7A09">
        <w:rPr>
          <w:rFonts w:ascii="Bookman Old Style" w:hAnsi="Bookman Old Style"/>
          <w:b/>
          <w:bCs/>
          <w:i/>
          <w:iCs/>
          <w:kern w:val="0"/>
          <w:sz w:val="28"/>
          <w:szCs w:val="28"/>
          <w:lang w:val="en-US"/>
          <w14:ligatures w14:val="none"/>
        </w:rPr>
        <w:t>Vasiliou</w:t>
      </w:r>
      <w:r w:rsidRPr="00BF7A09">
        <w:rPr>
          <w:rFonts w:ascii="Bookman Old Style" w:hAnsi="Bookman Old Style"/>
          <w:b/>
          <w:bCs/>
          <w:i/>
          <w:iCs/>
          <w:kern w:val="0"/>
          <w:sz w:val="28"/>
          <w:szCs w:val="28"/>
          <w:lang w:val="el-GR"/>
          <w14:ligatures w14:val="none"/>
        </w:rPr>
        <w:t xml:space="preserve"> </w:t>
      </w:r>
      <w:r w:rsidRPr="00BF7A09">
        <w:rPr>
          <w:rFonts w:ascii="Bookman Old Style" w:hAnsi="Bookman Old Style"/>
          <w:b/>
          <w:bCs/>
          <w:i/>
          <w:iCs/>
          <w:kern w:val="0"/>
          <w:sz w:val="28"/>
          <w:szCs w:val="28"/>
          <w:lang w:val="en-US"/>
          <w14:ligatures w14:val="none"/>
        </w:rPr>
        <w:t>v</w:t>
      </w:r>
      <w:r w:rsidRPr="00BF7A09">
        <w:rPr>
          <w:rFonts w:ascii="Bookman Old Style" w:hAnsi="Bookman Old Style"/>
          <w:b/>
          <w:bCs/>
          <w:i/>
          <w:iCs/>
          <w:kern w:val="0"/>
          <w:sz w:val="28"/>
          <w:szCs w:val="28"/>
          <w:lang w:val="el-GR"/>
          <w14:ligatures w14:val="none"/>
        </w:rPr>
        <w:t xml:space="preserve">. </w:t>
      </w:r>
      <w:r w:rsidRPr="00BF7A09">
        <w:rPr>
          <w:rFonts w:ascii="Bookman Old Style" w:hAnsi="Bookman Old Style"/>
          <w:b/>
          <w:bCs/>
          <w:i/>
          <w:iCs/>
          <w:kern w:val="0"/>
          <w:sz w:val="28"/>
          <w:szCs w:val="28"/>
          <w:lang w:val="en-US"/>
          <w14:ligatures w14:val="none"/>
        </w:rPr>
        <w:t>Republic</w:t>
      </w:r>
      <w:r w:rsidRPr="00BF7A09">
        <w:rPr>
          <w:rFonts w:ascii="Bookman Old Style" w:hAnsi="Bookman Old Style"/>
          <w:b/>
          <w:bCs/>
          <w:i/>
          <w:iCs/>
          <w:kern w:val="0"/>
          <w:sz w:val="28"/>
          <w:szCs w:val="28"/>
          <w:lang w:val="el-GR"/>
          <w14:ligatures w14:val="none"/>
        </w:rPr>
        <w:t xml:space="preserve"> (1982) 3 </w:t>
      </w:r>
      <w:r w:rsidRPr="00BF7A09">
        <w:rPr>
          <w:rFonts w:ascii="Bookman Old Style" w:hAnsi="Bookman Old Style"/>
          <w:b/>
          <w:bCs/>
          <w:i/>
          <w:iCs/>
          <w:kern w:val="0"/>
          <w:sz w:val="28"/>
          <w:szCs w:val="28"/>
          <w:lang w:val="en-US"/>
          <w14:ligatures w14:val="none"/>
        </w:rPr>
        <w:t>CLR</w:t>
      </w:r>
      <w:r w:rsidRPr="00BF7A09">
        <w:rPr>
          <w:rFonts w:ascii="Bookman Old Style" w:hAnsi="Bookman Old Style"/>
          <w:b/>
          <w:bCs/>
          <w:i/>
          <w:iCs/>
          <w:kern w:val="0"/>
          <w:sz w:val="28"/>
          <w:szCs w:val="28"/>
          <w:lang w:val="el-GR"/>
          <w14:ligatures w14:val="none"/>
        </w:rPr>
        <w:t xml:space="preserve"> 220</w:t>
      </w:r>
      <w:r w:rsidR="00ED62CC">
        <w:rPr>
          <w:rFonts w:ascii="Bookman Old Style" w:hAnsi="Bookman Old Style"/>
          <w:kern w:val="0"/>
          <w:sz w:val="28"/>
          <w:szCs w:val="28"/>
          <w:lang w:val="el-GR"/>
          <w14:ligatures w14:val="none"/>
        </w:rPr>
        <w:t>).</w:t>
      </w:r>
    </w:p>
    <w:p w14:paraId="5CA2E00A" w14:textId="77777777" w:rsidR="00BF7A09" w:rsidRDefault="00BF7A09" w:rsidP="00C21501">
      <w:pPr>
        <w:spacing w:after="0" w:line="480" w:lineRule="auto"/>
        <w:ind w:firstLine="720"/>
        <w:jc w:val="both"/>
        <w:rPr>
          <w:rFonts w:ascii="Bookman Old Style" w:hAnsi="Bookman Old Style"/>
          <w:kern w:val="0"/>
          <w:sz w:val="28"/>
          <w:szCs w:val="28"/>
          <w:lang w:val="el-GR"/>
          <w14:ligatures w14:val="none"/>
        </w:rPr>
      </w:pPr>
    </w:p>
    <w:p w14:paraId="1A839360" w14:textId="03EAA859" w:rsidR="003F07D6" w:rsidRDefault="003F07D6"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Σημειώνουμε ότι η αναφορά της ευπαίδευτης συνηγόρου της Εφεσίβλητης στα επισυνημμένα 1 και 2 στο περίγραμμα αγόρευσης της,</w:t>
      </w:r>
      <w:r w:rsidR="00BF7A09" w:rsidRPr="00BF7A09">
        <w:rPr>
          <w:rFonts w:ascii="Bookman Old Style" w:hAnsi="Bookman Old Style"/>
          <w:kern w:val="0"/>
          <w:sz w:val="28"/>
          <w:szCs w:val="28"/>
          <w:lang w:val="el-GR"/>
          <w14:ligatures w14:val="none"/>
        </w:rPr>
        <w:t xml:space="preserve"> </w:t>
      </w:r>
      <w:r w:rsidR="00BF7A09">
        <w:rPr>
          <w:rFonts w:ascii="Bookman Old Style" w:hAnsi="Bookman Old Style"/>
          <w:kern w:val="0"/>
          <w:sz w:val="28"/>
          <w:szCs w:val="28"/>
          <w:lang w:val="el-GR"/>
          <w14:ligatures w14:val="none"/>
        </w:rPr>
        <w:t>δεν θα ληφθεί υπόψη</w:t>
      </w:r>
      <w:r>
        <w:rPr>
          <w:rFonts w:ascii="Bookman Old Style" w:hAnsi="Bookman Old Style"/>
          <w:kern w:val="0"/>
          <w:sz w:val="28"/>
          <w:szCs w:val="28"/>
          <w:lang w:val="el-GR"/>
          <w14:ligatures w14:val="none"/>
        </w:rPr>
        <w:t xml:space="preserve"> εφόσον, όπως διευκρινίστηκε ενώπιον μας, αυτά δεν είχαν τεθεί ενώπιον του πρωτόδικου Δικαστηρίου και τα οποία εν πάση περιπτώσει, ουδόλως επηρεάζουν την πιο πάνω κατάληξη μας. </w:t>
      </w:r>
    </w:p>
    <w:p w14:paraId="246D1404" w14:textId="77777777" w:rsidR="000F39F1" w:rsidRDefault="000F39F1" w:rsidP="00C21501">
      <w:pPr>
        <w:spacing w:after="0" w:line="480" w:lineRule="auto"/>
        <w:ind w:firstLine="720"/>
        <w:jc w:val="both"/>
        <w:rPr>
          <w:rFonts w:ascii="Bookman Old Style" w:hAnsi="Bookman Old Style"/>
          <w:kern w:val="0"/>
          <w:sz w:val="28"/>
          <w:szCs w:val="28"/>
          <w:lang w:val="el-GR"/>
          <w14:ligatures w14:val="none"/>
        </w:rPr>
      </w:pPr>
    </w:p>
    <w:p w14:paraId="77AFB55E" w14:textId="30D46540" w:rsidR="000F39F1" w:rsidRDefault="000F39F1"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Στο σημείο αυτό θεωρούμε σκόπιμο να υπενθυμίσουμε για ακόμα μ</w:t>
      </w:r>
      <w:r w:rsidR="00BF7A09">
        <w:rPr>
          <w:rFonts w:ascii="Bookman Old Style" w:hAnsi="Bookman Old Style"/>
          <w:kern w:val="0"/>
          <w:sz w:val="28"/>
          <w:szCs w:val="28"/>
          <w:lang w:val="el-GR"/>
          <w14:ligatures w14:val="none"/>
        </w:rPr>
        <w:t>ί</w:t>
      </w:r>
      <w:r>
        <w:rPr>
          <w:rFonts w:ascii="Bookman Old Style" w:hAnsi="Bookman Old Style"/>
          <w:kern w:val="0"/>
          <w:sz w:val="28"/>
          <w:szCs w:val="28"/>
          <w:lang w:val="el-GR"/>
          <w14:ligatures w14:val="none"/>
        </w:rPr>
        <w:t xml:space="preserve">α φορά, </w:t>
      </w:r>
      <w:r w:rsidR="00BF7A09">
        <w:rPr>
          <w:rFonts w:ascii="Bookman Old Style" w:hAnsi="Bookman Old Style"/>
          <w:kern w:val="0"/>
          <w:sz w:val="28"/>
          <w:szCs w:val="28"/>
          <w:lang w:val="el-GR"/>
          <w14:ligatures w14:val="none"/>
        </w:rPr>
        <w:t>τη</w:t>
      </w:r>
      <w:r>
        <w:rPr>
          <w:rFonts w:ascii="Bookman Old Style" w:hAnsi="Bookman Old Style"/>
          <w:kern w:val="0"/>
          <w:sz w:val="28"/>
          <w:szCs w:val="28"/>
          <w:lang w:val="el-GR"/>
          <w14:ligatures w14:val="none"/>
        </w:rPr>
        <w:t xml:space="preserve"> πάγια νομολογία του Ανωτάτου Δικαστηρίου, </w:t>
      </w:r>
      <w:r w:rsidR="00BF7A09">
        <w:rPr>
          <w:rFonts w:ascii="Bookman Old Style" w:hAnsi="Bookman Old Style"/>
          <w:kern w:val="0"/>
          <w:sz w:val="28"/>
          <w:szCs w:val="28"/>
          <w:lang w:val="el-GR"/>
          <w14:ligatures w14:val="none"/>
        </w:rPr>
        <w:t xml:space="preserve"> σύμφωνα με την οποία </w:t>
      </w:r>
      <w:r>
        <w:rPr>
          <w:rFonts w:ascii="Bookman Old Style" w:hAnsi="Bookman Old Style"/>
          <w:kern w:val="0"/>
          <w:sz w:val="28"/>
          <w:szCs w:val="28"/>
          <w:lang w:val="el-GR"/>
          <w14:ligatures w14:val="none"/>
        </w:rPr>
        <w:t>το Δικαστήριο στην αναθεωρητική του δικαιοδοσία, δεν επεμβαίνει σε τεχνικά ζητήματα, τα οποία απαιτούν ειδικέ</w:t>
      </w:r>
      <w:r w:rsidR="00BF7A09">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γνώσεις, όπως την ορθότητα επιλεχθέντων μεθόδων αξιολόγησης τεχνικών ζητημάτων και τρόπους υπολογισμού, όπως και στην παρούσα περίπτωση που αφορά τη μέθοδο και τρόπο αξιολόγηση</w:t>
      </w:r>
      <w:r w:rsidR="00BF7A09">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των υποβληθέντων σχεδίων βιωσιμότητας, εκτός κι αν αποδειχθεί πλάνη περί τα πράγματα ή υπέρβαση των ακραίων ορίων της διακριτικής ευχέρειας της διοίκησης ή έλλειψη αιτιολογίας. </w:t>
      </w:r>
    </w:p>
    <w:p w14:paraId="3CE56829" w14:textId="77777777" w:rsidR="00197725" w:rsidRDefault="00197725" w:rsidP="00C21501">
      <w:pPr>
        <w:spacing w:after="0" w:line="480" w:lineRule="auto"/>
        <w:ind w:firstLine="720"/>
        <w:jc w:val="both"/>
        <w:rPr>
          <w:rFonts w:ascii="Bookman Old Style" w:hAnsi="Bookman Old Style"/>
          <w:kern w:val="0"/>
          <w:sz w:val="28"/>
          <w:szCs w:val="28"/>
          <w:lang w:val="el-GR"/>
          <w14:ligatures w14:val="none"/>
        </w:rPr>
      </w:pPr>
    </w:p>
    <w:p w14:paraId="06232912" w14:textId="3A36D7EF" w:rsidR="00197725" w:rsidRDefault="00197725" w:rsidP="00A21A76">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Το </w:t>
      </w:r>
      <w:r w:rsidR="00DF1EEA">
        <w:rPr>
          <w:rFonts w:ascii="Bookman Old Style" w:hAnsi="Bookman Old Style"/>
          <w:kern w:val="0"/>
          <w:sz w:val="28"/>
          <w:szCs w:val="28"/>
          <w:lang w:val="el-GR"/>
          <w14:ligatures w14:val="none"/>
        </w:rPr>
        <w:t xml:space="preserve">ακόλουθο απόσπασμα </w:t>
      </w:r>
      <w:r w:rsidR="00A23F41">
        <w:rPr>
          <w:rFonts w:ascii="Bookman Old Style" w:hAnsi="Bookman Old Style"/>
          <w:kern w:val="0"/>
          <w:sz w:val="28"/>
          <w:szCs w:val="28"/>
          <w:lang w:val="el-GR"/>
          <w14:ligatures w14:val="none"/>
        </w:rPr>
        <w:t xml:space="preserve">από την απόφαση της Ολομέλειας του Ανωτάτου Δικαστηρίου </w:t>
      </w:r>
      <w:r w:rsidR="00A23F41" w:rsidRPr="00A21A76">
        <w:rPr>
          <w:rFonts w:ascii="Bookman Old Style" w:hAnsi="Bookman Old Style"/>
          <w:b/>
          <w:bCs/>
          <w:i/>
          <w:iCs/>
          <w:kern w:val="0"/>
          <w:sz w:val="28"/>
          <w:szCs w:val="28"/>
          <w:lang w:val="en-US"/>
          <w14:ligatures w14:val="none"/>
        </w:rPr>
        <w:t>Lellla</w:t>
      </w:r>
      <w:r w:rsidR="00A23F41" w:rsidRPr="00A21A76">
        <w:rPr>
          <w:rFonts w:ascii="Bookman Old Style" w:hAnsi="Bookman Old Style"/>
          <w:b/>
          <w:bCs/>
          <w:i/>
          <w:iCs/>
          <w:kern w:val="0"/>
          <w:sz w:val="28"/>
          <w:szCs w:val="28"/>
          <w:lang w:val="el-GR"/>
          <w14:ligatures w14:val="none"/>
        </w:rPr>
        <w:t xml:space="preserve"> </w:t>
      </w:r>
      <w:r w:rsidR="00A23F41" w:rsidRPr="00A21A76">
        <w:rPr>
          <w:rFonts w:ascii="Bookman Old Style" w:hAnsi="Bookman Old Style"/>
          <w:b/>
          <w:bCs/>
          <w:i/>
          <w:iCs/>
          <w:kern w:val="0"/>
          <w:sz w:val="28"/>
          <w:szCs w:val="28"/>
          <w:lang w:val="en-US"/>
          <w14:ligatures w14:val="none"/>
        </w:rPr>
        <w:t>Kentonis</w:t>
      </w:r>
      <w:r w:rsidR="00A23F41" w:rsidRPr="00A21A76">
        <w:rPr>
          <w:rFonts w:ascii="Bookman Old Style" w:hAnsi="Bookman Old Style"/>
          <w:b/>
          <w:bCs/>
          <w:i/>
          <w:iCs/>
          <w:kern w:val="0"/>
          <w:sz w:val="28"/>
          <w:szCs w:val="28"/>
          <w:lang w:val="el-GR"/>
          <w14:ligatures w14:val="none"/>
        </w:rPr>
        <w:t xml:space="preserve"> </w:t>
      </w:r>
      <w:r w:rsidR="00A23F41" w:rsidRPr="00A21A76">
        <w:rPr>
          <w:rFonts w:ascii="Bookman Old Style" w:hAnsi="Bookman Old Style"/>
          <w:b/>
          <w:bCs/>
          <w:i/>
          <w:iCs/>
          <w:kern w:val="0"/>
          <w:sz w:val="28"/>
          <w:szCs w:val="28"/>
          <w:lang w:val="en-US"/>
          <w14:ligatures w14:val="none"/>
        </w:rPr>
        <w:t>Investment</w:t>
      </w:r>
      <w:r w:rsidR="00A23F41" w:rsidRPr="00A21A76">
        <w:rPr>
          <w:rFonts w:ascii="Bookman Old Style" w:hAnsi="Bookman Old Style"/>
          <w:b/>
          <w:bCs/>
          <w:i/>
          <w:iCs/>
          <w:kern w:val="0"/>
          <w:sz w:val="28"/>
          <w:szCs w:val="28"/>
          <w:lang w:val="el-GR"/>
          <w14:ligatures w14:val="none"/>
        </w:rPr>
        <w:t xml:space="preserve"> </w:t>
      </w:r>
      <w:r w:rsidR="00A23F41" w:rsidRPr="00A21A76">
        <w:rPr>
          <w:rFonts w:ascii="Bookman Old Style" w:hAnsi="Bookman Old Style"/>
          <w:b/>
          <w:bCs/>
          <w:i/>
          <w:iCs/>
          <w:kern w:val="0"/>
          <w:sz w:val="28"/>
          <w:szCs w:val="28"/>
          <w:lang w:val="en-US"/>
          <w14:ligatures w14:val="none"/>
        </w:rPr>
        <w:t>Co</w:t>
      </w:r>
      <w:r w:rsidR="00A23F41" w:rsidRPr="00A21A76">
        <w:rPr>
          <w:rFonts w:ascii="Bookman Old Style" w:hAnsi="Bookman Old Style"/>
          <w:b/>
          <w:bCs/>
          <w:i/>
          <w:iCs/>
          <w:kern w:val="0"/>
          <w:sz w:val="28"/>
          <w:szCs w:val="28"/>
          <w:lang w:val="el-GR"/>
          <w14:ligatures w14:val="none"/>
        </w:rPr>
        <w:t xml:space="preserve"> </w:t>
      </w:r>
      <w:r w:rsidR="00A23F41" w:rsidRPr="00A21A76">
        <w:rPr>
          <w:rFonts w:ascii="Bookman Old Style" w:hAnsi="Bookman Old Style"/>
          <w:b/>
          <w:bCs/>
          <w:i/>
          <w:iCs/>
          <w:kern w:val="0"/>
          <w:sz w:val="28"/>
          <w:szCs w:val="28"/>
          <w:lang w:val="en-US"/>
          <w14:ligatures w14:val="none"/>
        </w:rPr>
        <w:t>Ltd</w:t>
      </w:r>
      <w:r w:rsidR="00A23F41" w:rsidRPr="00A21A76">
        <w:rPr>
          <w:rFonts w:ascii="Bookman Old Style" w:hAnsi="Bookman Old Style"/>
          <w:b/>
          <w:bCs/>
          <w:i/>
          <w:iCs/>
          <w:kern w:val="0"/>
          <w:sz w:val="28"/>
          <w:szCs w:val="28"/>
          <w:lang w:val="el-GR"/>
          <w14:ligatures w14:val="none"/>
        </w:rPr>
        <w:t xml:space="preserve"> </w:t>
      </w:r>
      <w:r w:rsidR="00A23F41" w:rsidRPr="00A21A76">
        <w:rPr>
          <w:rFonts w:ascii="Bookman Old Style" w:hAnsi="Bookman Old Style"/>
          <w:b/>
          <w:bCs/>
          <w:i/>
          <w:iCs/>
          <w:kern w:val="0"/>
          <w:sz w:val="28"/>
          <w:szCs w:val="28"/>
          <w:lang w:val="en-US"/>
          <w14:ligatures w14:val="none"/>
        </w:rPr>
        <w:t>v</w:t>
      </w:r>
      <w:r w:rsidR="00A23F41" w:rsidRPr="00A21A76">
        <w:rPr>
          <w:rFonts w:ascii="Bookman Old Style" w:hAnsi="Bookman Old Style"/>
          <w:b/>
          <w:bCs/>
          <w:i/>
          <w:iCs/>
          <w:kern w:val="0"/>
          <w:sz w:val="28"/>
          <w:szCs w:val="28"/>
          <w:lang w:val="el-GR"/>
          <w14:ligatures w14:val="none"/>
        </w:rPr>
        <w:t>. Κυπριακής Δημοκρατίας, (2016) 3 ΑΑΔ 630, σελ. 646</w:t>
      </w:r>
      <w:r w:rsidR="00A23F41">
        <w:rPr>
          <w:rFonts w:ascii="Bookman Old Style" w:hAnsi="Bookman Old Style"/>
          <w:kern w:val="0"/>
          <w:sz w:val="28"/>
          <w:szCs w:val="28"/>
          <w:lang w:val="el-GR"/>
          <w14:ligatures w14:val="none"/>
        </w:rPr>
        <w:t xml:space="preserve"> είναι σχετικό:  </w:t>
      </w:r>
    </w:p>
    <w:p w14:paraId="3475F124"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Βεβαίως η ουσιαστική κρίση της διοίκησης σε τεχνικά θέματα και θέματα που απαιτούν ειδικές γνώσεις, γίνεται καταρχήν αποδεκτή, εκτός αν αποδειχθεί πλάνη περί τα πράγματα ή υπέρβαση των ακραίων ορίων της διακριτικής ευχέρειας της διοίκησης ή έλλειψη αιτιολογίας, Πορίσματα του Συμβουλίου Επικρατείας, 1929-1959, σ. 227:</w:t>
      </w:r>
    </w:p>
    <w:p w14:paraId="2BB0B285"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 </w:t>
      </w:r>
    </w:p>
    <w:p w14:paraId="34BD53E3"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«Το Συμβούλιον της Επικρατείας, ελέγχον τη νομιμότητα πράξεως προσβαλλομένης δι' αιτήσεως ακυρώσεως, απέχει του ελέγχου της ουσιαστικής κρίσεως της Διοικήσεως. Μέγας είναι ο αριθμός των επί του θέματος τούτου σχετικών αποφάσεων του Συμβουλίου, δι' ων χαρακτηρίζεται ως ανέλεγκτος η υπό της διοικήσεως εκτίμησις των πραγματικών περιστατικών ή του αποδεικτικού υλικού ή της κρίσεως περί συνδρομής λόγω σκοπιμότητος ή της κρίσεως επί ζητημάτων τεχνικής φύσεως ή ειδικών γνώσεων.  Ταύτα όμως, εφ' όσον δεν συντρέχη πλάνη περί τα πράγματα, κακή χρήσις διακριτικής εξουσίας ή δεν προκύπτη έλλειψις αιτιολογίας.  Το Σ.Ε. ελέγχει, ούχ ήττον, εάν τα γενόμενα δεκτά πραγματικά περιστατικά υπήχθησαν ορθώς εις τον νομικόν κανόνα. .»</w:t>
      </w:r>
    </w:p>
    <w:p w14:paraId="5E47EE73"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 </w:t>
      </w:r>
    </w:p>
    <w:p w14:paraId="08939A75"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5"/>
          <w:kern w:val="0"/>
          <w:sz w:val="28"/>
          <w:szCs w:val="28"/>
          <w:lang/>
          <w14:ligatures w14:val="none"/>
        </w:rPr>
        <w:t>T</w:t>
      </w:r>
      <w:r w:rsidRPr="00A21A76">
        <w:rPr>
          <w:rFonts w:ascii="Bookman Old Style" w:eastAsia="Times New Roman" w:hAnsi="Bookman Old Style" w:cs="Tahoma"/>
          <w:i/>
          <w:iCs/>
          <w:color w:val="000000"/>
          <w:spacing w:val="-5"/>
          <w:kern w:val="0"/>
          <w:sz w:val="28"/>
          <w:szCs w:val="28"/>
          <w:lang w:val="el-GR"/>
          <w14:ligatures w14:val="none"/>
        </w:rPr>
        <w:t>ην αυτή πορεία ακολουθούν και οι αποφάσεις του Ανωτάτου Δικαστηρίου </w:t>
      </w:r>
      <w:r w:rsidRPr="00A21A76">
        <w:rPr>
          <w:rFonts w:ascii="Bookman Old Style" w:eastAsia="Times New Roman" w:hAnsi="Bookman Old Style" w:cs="Tahoma"/>
          <w:b/>
          <w:bCs/>
          <w:i/>
          <w:iCs/>
          <w:color w:val="000000"/>
          <w:spacing w:val="-5"/>
          <w:kern w:val="0"/>
          <w:sz w:val="28"/>
          <w:szCs w:val="28"/>
          <w:lang w:val="el-GR"/>
          <w14:ligatures w14:val="none"/>
        </w:rPr>
        <w:t>Ιερά Αρχιεπισκοπή Κύπρου κ.α. ν. Δημοκρατίας </w:t>
      </w:r>
      <w:hyperlink r:id="rId7" w:history="1">
        <w:r w:rsidRPr="00A21A76">
          <w:rPr>
            <w:rFonts w:ascii="Bookman Old Style" w:eastAsia="Times New Roman" w:hAnsi="Bookman Old Style" w:cs="Tahoma"/>
            <w:b/>
            <w:bCs/>
            <w:i/>
            <w:iCs/>
            <w:spacing w:val="-5"/>
            <w:kern w:val="0"/>
            <w:sz w:val="28"/>
            <w:szCs w:val="28"/>
            <w:lang w:val="el-GR"/>
            <w14:ligatures w14:val="none"/>
          </w:rPr>
          <w:t>(1990) 3 Α.Α.Δ. 1175</w:t>
        </w:r>
      </w:hyperlink>
      <w:r w:rsidRPr="00A21A76">
        <w:rPr>
          <w:rFonts w:ascii="Bookman Old Style" w:eastAsia="Times New Roman" w:hAnsi="Bookman Old Style" w:cs="Tahoma"/>
          <w:b/>
          <w:bCs/>
          <w:i/>
          <w:iCs/>
          <w:spacing w:val="-5"/>
          <w:kern w:val="0"/>
          <w:sz w:val="28"/>
          <w:szCs w:val="28"/>
          <w:lang w:val="el-GR"/>
          <w14:ligatures w14:val="none"/>
        </w:rPr>
        <w:t>,</w:t>
      </w:r>
      <w:r w:rsidRPr="00A21A76">
        <w:rPr>
          <w:rFonts w:ascii="Bookman Old Style" w:eastAsia="Times New Roman" w:hAnsi="Bookman Old Style" w:cs="Tahoma"/>
          <w:b/>
          <w:bCs/>
          <w:i/>
          <w:iCs/>
          <w:color w:val="000000"/>
          <w:spacing w:val="-5"/>
          <w:kern w:val="0"/>
          <w:sz w:val="28"/>
          <w:szCs w:val="28"/>
          <w:lang w:val="el-GR"/>
          <w14:ligatures w14:val="none"/>
        </w:rPr>
        <w:t xml:space="preserve"> Θεοδουλίδης κ.α. ν. Αρχής Ηλεκτρισμού Κύπρου </w:t>
      </w:r>
      <w:hyperlink r:id="rId8" w:history="1">
        <w:r w:rsidRPr="00A21A76">
          <w:rPr>
            <w:rFonts w:ascii="Bookman Old Style" w:eastAsia="Times New Roman" w:hAnsi="Bookman Old Style" w:cs="Tahoma"/>
            <w:b/>
            <w:bCs/>
            <w:i/>
            <w:iCs/>
            <w:spacing w:val="-5"/>
            <w:kern w:val="0"/>
            <w:sz w:val="28"/>
            <w:szCs w:val="28"/>
            <w:lang w:val="el-GR"/>
            <w14:ligatures w14:val="none"/>
          </w:rPr>
          <w:t>(1998) 3 Α.Α.Δ. 742</w:t>
        </w:r>
      </w:hyperlink>
      <w:r w:rsidRPr="00A21A76">
        <w:rPr>
          <w:rFonts w:ascii="Bookman Old Style" w:eastAsia="Times New Roman" w:hAnsi="Bookman Old Style" w:cs="Tahoma"/>
          <w:b/>
          <w:bCs/>
          <w:i/>
          <w:iCs/>
          <w:color w:val="000000"/>
          <w:spacing w:val="-5"/>
          <w:kern w:val="0"/>
          <w:sz w:val="28"/>
          <w:szCs w:val="28"/>
          <w:lang w:val="el-GR"/>
          <w14:ligatures w14:val="none"/>
        </w:rPr>
        <w:t>, </w:t>
      </w:r>
      <w:r w:rsidRPr="00A21A76">
        <w:rPr>
          <w:rFonts w:ascii="Bookman Old Style" w:eastAsia="Times New Roman" w:hAnsi="Bookman Old Style" w:cs="Tahoma"/>
          <w:b/>
          <w:bCs/>
          <w:i/>
          <w:iCs/>
          <w:color w:val="000000"/>
          <w:spacing w:val="-5"/>
          <w:kern w:val="0"/>
          <w:sz w:val="28"/>
          <w:szCs w:val="28"/>
          <w:lang/>
          <w14:ligatures w14:val="none"/>
        </w:rPr>
        <w:t>Peratica Trading Co Ltd v. </w:t>
      </w:r>
      <w:r w:rsidRPr="00A21A76">
        <w:rPr>
          <w:rFonts w:ascii="Bookman Old Style" w:eastAsia="Times New Roman" w:hAnsi="Bookman Old Style" w:cs="Tahoma"/>
          <w:b/>
          <w:bCs/>
          <w:i/>
          <w:iCs/>
          <w:color w:val="000000"/>
          <w:spacing w:val="-5"/>
          <w:kern w:val="0"/>
          <w:sz w:val="28"/>
          <w:szCs w:val="28"/>
          <w:lang w:val="el-GR"/>
          <w14:ligatures w14:val="none"/>
        </w:rPr>
        <w:t>Δημοκρατίας </w:t>
      </w:r>
      <w:hyperlink r:id="rId9" w:history="1">
        <w:r w:rsidRPr="00A21A76">
          <w:rPr>
            <w:rFonts w:ascii="Bookman Old Style" w:eastAsia="Times New Roman" w:hAnsi="Bookman Old Style" w:cs="Tahoma"/>
            <w:b/>
            <w:bCs/>
            <w:i/>
            <w:iCs/>
            <w:spacing w:val="-5"/>
            <w:kern w:val="0"/>
            <w:sz w:val="28"/>
            <w:szCs w:val="28"/>
            <w:lang w:val="el-GR"/>
            <w14:ligatures w14:val="none"/>
          </w:rPr>
          <w:t>(2002) 3 Α.Α.Δ. 445</w:t>
        </w:r>
      </w:hyperlink>
      <w:r w:rsidRPr="00A21A76">
        <w:rPr>
          <w:rFonts w:ascii="Bookman Old Style" w:eastAsia="Times New Roman" w:hAnsi="Bookman Old Style" w:cs="Times New Roman"/>
          <w:i/>
          <w:iCs/>
          <w:kern w:val="0"/>
          <w:sz w:val="28"/>
          <w:szCs w:val="28"/>
          <w:lang/>
          <w14:ligatures w14:val="none"/>
        </w:rPr>
        <w:t xml:space="preserve">. </w:t>
      </w:r>
      <w:r w:rsidRPr="00A21A76">
        <w:rPr>
          <w:rFonts w:ascii="Bookman Old Style" w:eastAsia="Times New Roman" w:hAnsi="Bookman Old Style" w:cs="Times New Roman"/>
          <w:i/>
          <w:iCs/>
          <w:color w:val="000000"/>
          <w:kern w:val="0"/>
          <w:sz w:val="28"/>
          <w:szCs w:val="28"/>
          <w:lang/>
          <w14:ligatures w14:val="none"/>
        </w:rPr>
        <w:t>Προκύπτει εκ των ανωτέρω και κατά πάγια νομολογία, ότι όπου η διοικητική απόφαση προϋποθέτει τεχνικές ειδικές γνώσεις, τις οποίες διοικητικοί λειτουργοί κατέχουν λόγω προσόντων ή λόγω της πείρας που αποκτήθηκε κατά τη διάρκεια της υπηρεσίας τους, η κρίση τους ως προς τεχνικά ζητήματα δεν μπορεί να υποκαθίσταται από το διοικητικό Δικαστήριο.  Ιδιαιτέρως, εκεί όπου ελλείπει ειδική μαρτυρία την οποία το Δικαστήριο, όπου υπάρχει, θα αξιολογήσει. Η αξιολόγηση του υλικού όμως, όχι μόνο δεν συνεπάγεται υποχρέωση του διοικητικού Δικαστή να λάβει θέση επί των τεχνικών διχογνωμιών, αλλά, όπως σχολιάζεται στο σύγγραμμα της Ευαγγελίας Κουτούπα-Ρεγκάκου Αόριστες και Τεχνικές Έννοιες στο Δημόσιο Δίκαιο, Εκδόσεις Σάκκουλα, 1997, σ. 116 </w:t>
      </w:r>
      <w:r w:rsidRPr="00A21A76">
        <w:rPr>
          <w:rFonts w:ascii="Bookman Old Style" w:eastAsia="Times New Roman" w:hAnsi="Bookman Old Style" w:cs="Tahoma"/>
          <w:i/>
          <w:iCs/>
          <w:color w:val="000000"/>
          <w:spacing w:val="-5"/>
          <w:kern w:val="0"/>
          <w:sz w:val="28"/>
          <w:szCs w:val="28"/>
          <w:lang w:val="el-GR"/>
          <w14:ligatures w14:val="none"/>
        </w:rPr>
        <w:t>«.δεν είναι και σε θέση να προβαίνει σε ιδίαν κρίση. Λόγω συνεπώς του προβαδίσματος της διοίκησης σε ειδικές τεχνικές γνώσεις, ο δικαστής θεωρεί τις τεχνικές κρίσεις καταρχήν αποδεκτές. Ο στόχος αυτού του δικαστικού αυτοπεριορισμού είναι να μην παρεμποδίζεται η διαδικασία έγκρισης τεχνικών εγκαταστάσεων αφενός και αφετέρου να μην καθίσταται ο διοικητικός δικαστής ιεραρχικός προϊστάμενος της εγκρίνουσας διοικητικής αρχής.»</w:t>
      </w:r>
    </w:p>
    <w:p w14:paraId="21992477"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 </w:t>
      </w:r>
    </w:p>
    <w:p w14:paraId="0B18B849"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5"/>
          <w:kern w:val="0"/>
          <w:sz w:val="28"/>
          <w:szCs w:val="28"/>
          <w:lang w:val="el-GR"/>
          <w14:ligatures w14:val="none"/>
        </w:rPr>
        <w:t>Το ακόλουθο απόσπασμα από το σύγγραμμα του Μιχ. Δ. Στασινόπουλου: "Δίκαιον των Διοικητικών Πράξεων" (έκδοση 1957, ανατύπωσις 1982), σ.319, συνοψίζει εύγλωττα και απαντά στο ερώτημα:</w:t>
      </w:r>
    </w:p>
    <w:p w14:paraId="4E626DD5"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 </w:t>
      </w:r>
    </w:p>
    <w:p w14:paraId="311C6FC1"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5"/>
          <w:kern w:val="0"/>
          <w:sz w:val="28"/>
          <w:szCs w:val="28"/>
          <w:lang w:val="el-GR"/>
          <w14:ligatures w14:val="none"/>
        </w:rPr>
        <w:t>"Θέματα διακριτικής εξουσίας και τεχνικής άμα φύσεως. - Ήδη τίθεται το ζήτημα, εις ποιαν κατηγορίαν δέον να καταταχθώσιν αι περιπτώσεις, κατά τας οποίας η εφαρμογή του νόμου δεν δύναται να χωρήση άνευ της συνδρομής γνώσεων τεχνικής φύσεως.</w:t>
      </w:r>
    </w:p>
    <w:p w14:paraId="2AF7FDC1"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3"/>
          <w:kern w:val="0"/>
          <w:sz w:val="28"/>
          <w:szCs w:val="28"/>
          <w:lang w:val="el-GR"/>
          <w14:ligatures w14:val="none"/>
        </w:rPr>
        <w:t> </w:t>
      </w:r>
    </w:p>
    <w:p w14:paraId="06CEA943" w14:textId="77777777" w:rsidR="00A21A76" w:rsidRPr="00A21A76" w:rsidRDefault="00A21A76" w:rsidP="00A21A76">
      <w:pPr>
        <w:spacing w:after="0" w:line="250" w:lineRule="atLeast"/>
        <w:ind w:left="567"/>
        <w:jc w:val="both"/>
        <w:rPr>
          <w:rFonts w:ascii="Bookman Old Style" w:eastAsia="Times New Roman" w:hAnsi="Bookman Old Style" w:cs="Times New Roman"/>
          <w:i/>
          <w:iCs/>
          <w:color w:val="000000"/>
          <w:kern w:val="0"/>
          <w:sz w:val="28"/>
          <w:szCs w:val="28"/>
          <w:lang/>
          <w14:ligatures w14:val="none"/>
        </w:rPr>
      </w:pPr>
      <w:r w:rsidRPr="00A21A76">
        <w:rPr>
          <w:rFonts w:ascii="Bookman Old Style" w:eastAsia="Times New Roman" w:hAnsi="Bookman Old Style" w:cs="Tahoma"/>
          <w:i/>
          <w:iCs/>
          <w:color w:val="000000"/>
          <w:spacing w:val="-4"/>
          <w:kern w:val="0"/>
          <w:sz w:val="28"/>
          <w:szCs w:val="28"/>
          <w:lang w:val="el-GR"/>
          <w14:ligatures w14:val="none"/>
        </w:rPr>
        <w:t>Είπομεν ήδη ανωτέρω, ότι αι περιπτώσεις κατά τας οποίας ο νόμος παραπέμπει εις τα δεδομένα της κοινής πείρας της εις πάντας προσιτής, δεν δύνανται, από νομικής απόψεως, να διασταλώσιν από εκείνας, καθ' ας ο νόμος παραπέμπει εις τεχνικάς γνώσεις, προσιτάς μόνον εις ομάδα ειδικών προσώπων.  Και εις τας δύο περιπτώσεις, η πρόθεσις του νόμου, όπως η έννοια παραμείνη καθωρισμένη και ελεγκτή, δέον να είναι εξ ίσου σεβαστή. Αφ' ης στιγμής γίνη δεκτόν ότι η έννοια είναι νομική, είναι ελεγκτός ο νομικός χαρακτηρισμός, ήτοι η εις την έννοιαν ταύτην υπαγωγή των πραγματικών περιστατικών, χωρίς να επιτρέπηται, θεωρητικώς, αποχή από του ελέγχου του νομικού χαρακτηρισμού, επί μόνω τω λόγω ότι ούτος εγένετο τη συνδρομή τεχνικών γνώσεων. Εκ πρακτικών όμως λόγων, ο έλεγχός του διά τεχνικών γνώσεων ενεργουμένου νομικού χαρακτηρισμού πρέπει να είναι επιφυλακτικός, διότι, αφού ο δικαστής δεν δύναται, διά της ιδίας αυτού αντιλήψεως, ν' αντικαταστήση την επί του νομικού χαρακτηρισμού κρίσιν του οργάνου, η προσφυγή εις τας γνώσεις ετέρου τεχνικού προσώπου δεν είναι βέβαιον ότι θ' αποδώση αποτέλεσμα κρείσσον του προελθόντος εκ της τεχνικής πείρας των διοικητικών οργάνων."»</w:t>
      </w:r>
    </w:p>
    <w:p w14:paraId="590F362A" w14:textId="77777777" w:rsidR="00A23F41" w:rsidRPr="00A21A76" w:rsidRDefault="00A23F41" w:rsidP="00C21501">
      <w:pPr>
        <w:spacing w:after="0" w:line="480" w:lineRule="auto"/>
        <w:ind w:firstLine="720"/>
        <w:jc w:val="both"/>
        <w:rPr>
          <w:rFonts w:ascii="Bookman Old Style" w:hAnsi="Bookman Old Style"/>
          <w:kern w:val="0"/>
          <w:sz w:val="28"/>
          <w:szCs w:val="28"/>
          <w14:ligatures w14:val="none"/>
        </w:rPr>
      </w:pPr>
    </w:p>
    <w:p w14:paraId="3DFE5D77" w14:textId="5511487F" w:rsidR="00A23F41" w:rsidRDefault="00A23F41"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Στην προκειμένη περίπτωση, με βάση την πιο πάνω κατάληξη μας, κρίνουμε πως δεν έχει τεκμηριωθεί πλάνη περί τα πράγματα, ούτε και υπέρβαση των ακραίων ορίων της διακριτικής ευχέρειας της Εφεσίβλητης, αλλά ούτε και έλλειψη αιτιολογίας.  Όπως ορθά επεσήμανε και το πρωτόδικο Δικαστήριο,</w:t>
      </w:r>
      <w:r w:rsidR="00BF7A09">
        <w:rPr>
          <w:rFonts w:ascii="Bookman Old Style" w:hAnsi="Bookman Old Style"/>
          <w:kern w:val="0"/>
          <w:sz w:val="28"/>
          <w:szCs w:val="28"/>
          <w:lang w:val="el-GR"/>
          <w14:ligatures w14:val="none"/>
        </w:rPr>
        <w:t xml:space="preserve"> σύμφωνα με τα στοιχεία του </w:t>
      </w:r>
      <w:r>
        <w:rPr>
          <w:rFonts w:ascii="Bookman Old Style" w:hAnsi="Bookman Old Style"/>
          <w:kern w:val="0"/>
          <w:sz w:val="28"/>
          <w:szCs w:val="28"/>
          <w:lang w:val="el-GR"/>
          <w14:ligatures w14:val="none"/>
        </w:rPr>
        <w:t>διοικητικ</w:t>
      </w:r>
      <w:r w:rsidR="00BF7A09">
        <w:rPr>
          <w:rFonts w:ascii="Bookman Old Style" w:hAnsi="Bookman Old Style"/>
          <w:kern w:val="0"/>
          <w:sz w:val="28"/>
          <w:szCs w:val="28"/>
          <w:lang w:val="el-GR"/>
          <w14:ligatures w14:val="none"/>
        </w:rPr>
        <w:t xml:space="preserve">ού </w:t>
      </w:r>
      <w:r>
        <w:rPr>
          <w:rFonts w:ascii="Bookman Old Style" w:hAnsi="Bookman Old Style"/>
          <w:kern w:val="0"/>
          <w:sz w:val="28"/>
          <w:szCs w:val="28"/>
          <w:lang w:val="el-GR"/>
          <w14:ligatures w14:val="none"/>
        </w:rPr>
        <w:t xml:space="preserve"> φ</w:t>
      </w:r>
      <w:r w:rsidR="00BF7A09">
        <w:rPr>
          <w:rFonts w:ascii="Bookman Old Style" w:hAnsi="Bookman Old Style"/>
          <w:kern w:val="0"/>
          <w:sz w:val="28"/>
          <w:szCs w:val="28"/>
          <w:lang w:val="el-GR"/>
          <w14:ligatures w14:val="none"/>
        </w:rPr>
        <w:t>α</w:t>
      </w:r>
      <w:r>
        <w:rPr>
          <w:rFonts w:ascii="Bookman Old Style" w:hAnsi="Bookman Old Style"/>
          <w:kern w:val="0"/>
          <w:sz w:val="28"/>
          <w:szCs w:val="28"/>
          <w:lang w:val="el-GR"/>
          <w14:ligatures w14:val="none"/>
        </w:rPr>
        <w:t>κ</w:t>
      </w:r>
      <w:r w:rsidR="00BF7A09">
        <w:rPr>
          <w:rFonts w:ascii="Bookman Old Style" w:hAnsi="Bookman Old Style"/>
          <w:kern w:val="0"/>
          <w:sz w:val="28"/>
          <w:szCs w:val="28"/>
          <w:lang w:val="el-GR"/>
          <w14:ligatures w14:val="none"/>
        </w:rPr>
        <w:t>έλου,</w:t>
      </w:r>
      <w:r>
        <w:rPr>
          <w:rFonts w:ascii="Bookman Old Style" w:hAnsi="Bookman Old Style"/>
          <w:kern w:val="0"/>
          <w:sz w:val="28"/>
          <w:szCs w:val="28"/>
          <w:lang w:val="el-GR"/>
          <w14:ligatures w14:val="none"/>
        </w:rPr>
        <w:t xml:space="preserve"> για τις προσβαλλόμενες αποφάσεις δόθηκε πλήρης και επαρκής αιτιολογία για την απόρριψη των αιτήσεων του Εφεσείοντα, η οποία, όπως αναφέρθηκε ανωτέρω, συνίσταται στην μη αποδεκτή και εντός των τεθέντων αποδεκτών ορίων, απόκλιση που παρατηρήθηκε στα στοιχεία που παρέθεσε ο Εφεσείων, σε σύγκριση με αυτά του ΙΓΕ. </w:t>
      </w:r>
    </w:p>
    <w:p w14:paraId="4C217E38" w14:textId="77777777" w:rsidR="00A23F41" w:rsidRDefault="00A23F41" w:rsidP="00C21501">
      <w:pPr>
        <w:spacing w:after="0" w:line="480" w:lineRule="auto"/>
        <w:ind w:firstLine="720"/>
        <w:jc w:val="both"/>
        <w:rPr>
          <w:rFonts w:ascii="Bookman Old Style" w:hAnsi="Bookman Old Style"/>
          <w:kern w:val="0"/>
          <w:sz w:val="28"/>
          <w:szCs w:val="28"/>
          <w:lang w:val="el-GR"/>
          <w14:ligatures w14:val="none"/>
        </w:rPr>
      </w:pPr>
    </w:p>
    <w:p w14:paraId="55C17C41" w14:textId="77777777" w:rsidR="00C40177" w:rsidRDefault="00C40177" w:rsidP="00BF7A09">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 ,</w:t>
      </w:r>
    </w:p>
    <w:p w14:paraId="1AF834C2" w14:textId="4305EF7E" w:rsidR="00A23F41" w:rsidRPr="001C1175" w:rsidRDefault="00A23F41" w:rsidP="00BF7A09">
      <w:pPr>
        <w:spacing w:after="0" w:line="480" w:lineRule="auto"/>
        <w:ind w:firstLine="720"/>
        <w:jc w:val="both"/>
        <w:rPr>
          <w:rFonts w:ascii="Bookman Old Style" w:hAnsi="Bookman Old Style"/>
          <w:i/>
          <w:iCs/>
          <w:kern w:val="0"/>
          <w:sz w:val="28"/>
          <w:szCs w:val="28"/>
          <w:lang w:val="el-GR"/>
          <w14:ligatures w14:val="none"/>
        </w:rPr>
      </w:pPr>
      <w:r>
        <w:rPr>
          <w:rFonts w:ascii="Bookman Old Style" w:hAnsi="Bookman Old Style"/>
          <w:kern w:val="0"/>
          <w:sz w:val="28"/>
          <w:szCs w:val="28"/>
          <w:lang w:val="el-GR"/>
          <w14:ligatures w14:val="none"/>
        </w:rPr>
        <w:t xml:space="preserve">Κατ’ επέκταση, ορθά έκρινε το πρωτόδικο Δικαστήριο πως δεν είχε τεκμηριωθεί κακή πίστη εκ μέρους της Εφεσίβλητης, τονίζοντας ότι το γεγονός ότι ο Εφεσείων δεν είχε στην κατοχή του τα στοιχεία του ΙΓΕ κατά την ετοιμασία της μελέτης βιωσιμότητας, όχι μόνο δεν καταδεικνύει πλάνη ή απάτη του Εφεσείοντα, αλλά απεναντίας τεκμηριώνει τη θέση της Εφεσίβλητης πως με τη σύγκριση των </w:t>
      </w:r>
      <w:r w:rsidR="00BF7A09">
        <w:rPr>
          <w:rFonts w:ascii="Bookman Old Style" w:hAnsi="Bookman Old Style"/>
          <w:kern w:val="0"/>
          <w:sz w:val="28"/>
          <w:szCs w:val="28"/>
          <w:lang w:val="el-GR"/>
          <w14:ligatures w14:val="none"/>
        </w:rPr>
        <w:t>δύο</w:t>
      </w:r>
      <w:r>
        <w:rPr>
          <w:rFonts w:ascii="Bookman Old Style" w:hAnsi="Bookman Old Style"/>
          <w:kern w:val="0"/>
          <w:sz w:val="28"/>
          <w:szCs w:val="28"/>
          <w:lang w:val="el-GR"/>
          <w14:ligatures w14:val="none"/>
        </w:rPr>
        <w:t xml:space="preserve"> Σχεδίων Βελτίωσης, δηλ. αυτού που δηλώθηκε στην αίτηση του Εφεσείοντα και αυτού που βασίστηκε στα αποτελέσματα του διοικητικού ελέγχου της Μονάδας Εφαρμογής και στα</w:t>
      </w:r>
      <w:r w:rsidR="00BF7A09">
        <w:rPr>
          <w:rFonts w:ascii="Bookman Old Style" w:hAnsi="Bookman Old Style"/>
          <w:kern w:val="0"/>
          <w:sz w:val="28"/>
          <w:szCs w:val="28"/>
          <w:lang w:val="el-GR"/>
          <w14:ligatures w14:val="none"/>
        </w:rPr>
        <w:t xml:space="preserve"> στοιχεία</w:t>
      </w:r>
      <w:r>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N</w:t>
      </w:r>
      <w:r w:rsidR="00ED62CC">
        <w:rPr>
          <w:rFonts w:ascii="Bookman Old Style" w:hAnsi="Bookman Old Style"/>
          <w:kern w:val="0"/>
          <w:sz w:val="28"/>
          <w:szCs w:val="28"/>
          <w:lang w:val="el-GR"/>
          <w14:ligatures w14:val="none"/>
        </w:rPr>
        <w:t>Ο</w:t>
      </w:r>
      <w:r w:rsidR="00ED62CC">
        <w:rPr>
          <w:rFonts w:ascii="Bookman Old Style" w:hAnsi="Bookman Old Style"/>
          <w:kern w:val="0"/>
          <w:sz w:val="28"/>
          <w:szCs w:val="28"/>
          <w:lang w:val="en-US"/>
          <w14:ligatures w14:val="none"/>
        </w:rPr>
        <w:t>RM</w:t>
      </w:r>
      <w:r w:rsidR="00ED62CC" w:rsidRPr="00ED62CC">
        <w:rPr>
          <w:rFonts w:ascii="Bookman Old Style" w:hAnsi="Bookman Old Style"/>
          <w:kern w:val="0"/>
          <w:sz w:val="28"/>
          <w:szCs w:val="28"/>
          <w:lang w:val="el-GR"/>
          <w14:ligatures w14:val="none"/>
        </w:rPr>
        <w:t xml:space="preserve"> </w:t>
      </w:r>
      <w:r w:rsidRPr="00A23F4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Input</w:t>
      </w:r>
      <w:r w:rsidRPr="00A23F4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w:t>
      </w:r>
      <w:r w:rsidRPr="00A23F4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n-US"/>
          <w14:ligatures w14:val="none"/>
        </w:rPr>
        <w:t>Output</w:t>
      </w:r>
      <w:r w:rsidRPr="00A23F41">
        <w:rPr>
          <w:rFonts w:ascii="Bookman Old Style" w:hAnsi="Bookman Old Style"/>
          <w:kern w:val="0"/>
          <w:sz w:val="28"/>
          <w:szCs w:val="28"/>
          <w:lang w:val="el-GR"/>
          <w14:ligatures w14:val="none"/>
        </w:rPr>
        <w:t xml:space="preserve"> </w:t>
      </w:r>
      <w:r>
        <w:rPr>
          <w:rFonts w:ascii="Bookman Old Style" w:hAnsi="Bookman Old Style"/>
          <w:kern w:val="0"/>
          <w:sz w:val="28"/>
          <w:szCs w:val="28"/>
          <w:lang w:val="el-GR"/>
          <w14:ligatures w14:val="none"/>
        </w:rPr>
        <w:t xml:space="preserve"> του ΙΓΕ, ο στόχος ήταν </w:t>
      </w:r>
      <w:r w:rsidR="001C1175" w:rsidRPr="001C1175">
        <w:rPr>
          <w:rFonts w:ascii="Bookman Old Style" w:hAnsi="Bookman Old Style"/>
          <w:i/>
          <w:iCs/>
          <w:kern w:val="0"/>
          <w:sz w:val="28"/>
          <w:szCs w:val="28"/>
          <w:lang w:val="el-GR"/>
          <w14:ligatures w14:val="none"/>
        </w:rPr>
        <w:t>«</w:t>
      </w:r>
      <w:r w:rsidR="001C1175" w:rsidRPr="001C1175">
        <w:rPr>
          <w:rFonts w:ascii="Bookman Old Style" w:hAnsi="Bookman Old Style" w:cs="Arial"/>
          <w:i/>
          <w:iCs/>
          <w:color w:val="000000"/>
          <w:sz w:val="28"/>
          <w:szCs w:val="28"/>
        </w:rPr>
        <w:t>η ύπαρξη δύο εντελώς ανεξάρτητων μεταξύ τους μελετών, στηριγμένες στη πραγματικότητα, ακριβείς, οι οποίες θα συγκριθούν μεταξύ τους με κάποια προκαθορισμένη δυνατότητα απόκλισης, έτσι ώστε να προκύψει από αυτή τη διαδικασία ορθή και τεκμηριωμένη απόφαση. Συνεπώς, δεν τίθετο θέμα ο αιτητής να πρέπει να έχει ενώπιον του την μελέτη στοιχείων του ΙΓΕ κατά την ετοιμασία της αίτησης του</w:t>
      </w:r>
      <w:r w:rsidR="001C1175">
        <w:rPr>
          <w:rFonts w:ascii="Bookman Old Style" w:hAnsi="Bookman Old Style" w:cs="Arial"/>
          <w:i/>
          <w:iCs/>
          <w:color w:val="000000"/>
          <w:sz w:val="28"/>
          <w:szCs w:val="28"/>
          <w:lang w:val="el-GR"/>
        </w:rPr>
        <w:t>».</w:t>
      </w:r>
    </w:p>
    <w:p w14:paraId="3AD7523C" w14:textId="77777777" w:rsidR="00A23F41" w:rsidRDefault="00A23F41" w:rsidP="00C21501">
      <w:pPr>
        <w:spacing w:after="0" w:line="480" w:lineRule="auto"/>
        <w:ind w:firstLine="720"/>
        <w:jc w:val="both"/>
        <w:rPr>
          <w:rFonts w:ascii="Bookman Old Style" w:hAnsi="Bookman Old Style"/>
          <w:kern w:val="0"/>
          <w:sz w:val="28"/>
          <w:szCs w:val="28"/>
          <w:lang w:val="el-GR"/>
          <w14:ligatures w14:val="none"/>
        </w:rPr>
      </w:pPr>
    </w:p>
    <w:p w14:paraId="0786A82D" w14:textId="575ABC34" w:rsidR="00A23F41" w:rsidRDefault="00A23F41"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Για όλα τα πιο πάνω, καταλήγουμε πως όλοι οι λόγοι Έφεση</w:t>
      </w:r>
      <w:r w:rsidR="009403BF">
        <w:rPr>
          <w:rFonts w:ascii="Bookman Old Style" w:hAnsi="Bookman Old Style"/>
          <w:kern w:val="0"/>
          <w:sz w:val="28"/>
          <w:szCs w:val="28"/>
          <w:lang w:val="el-GR"/>
          <w14:ligatures w14:val="none"/>
        </w:rPr>
        <w:t>ς</w:t>
      </w:r>
      <w:r>
        <w:rPr>
          <w:rFonts w:ascii="Bookman Old Style" w:hAnsi="Bookman Old Style"/>
          <w:kern w:val="0"/>
          <w:sz w:val="28"/>
          <w:szCs w:val="28"/>
          <w:lang w:val="el-GR"/>
          <w14:ligatures w14:val="none"/>
        </w:rPr>
        <w:t xml:space="preserve"> δεν ευσταθούν και απορρίπτονται ως αβάσιμοι. </w:t>
      </w:r>
    </w:p>
    <w:p w14:paraId="0A520456" w14:textId="77777777" w:rsidR="00A23F41" w:rsidRDefault="00A23F41" w:rsidP="00C21501">
      <w:pPr>
        <w:spacing w:after="0" w:line="480" w:lineRule="auto"/>
        <w:ind w:firstLine="720"/>
        <w:jc w:val="both"/>
        <w:rPr>
          <w:rFonts w:ascii="Bookman Old Style" w:hAnsi="Bookman Old Style"/>
          <w:kern w:val="0"/>
          <w:sz w:val="28"/>
          <w:szCs w:val="28"/>
          <w:lang w:val="el-GR"/>
          <w14:ligatures w14:val="none"/>
        </w:rPr>
      </w:pPr>
    </w:p>
    <w:p w14:paraId="63B4DF24" w14:textId="10B7EF6D" w:rsidR="00A23F41" w:rsidRDefault="00A23F41" w:rsidP="00C21501">
      <w:pPr>
        <w:spacing w:after="0" w:line="480" w:lineRule="auto"/>
        <w:ind w:firstLine="720"/>
        <w:jc w:val="both"/>
        <w:rPr>
          <w:rFonts w:ascii="Bookman Old Style" w:hAnsi="Bookman Old Style"/>
          <w:kern w:val="0"/>
          <w:sz w:val="28"/>
          <w:szCs w:val="28"/>
          <w:lang w:val="el-GR"/>
          <w14:ligatures w14:val="none"/>
        </w:rPr>
      </w:pPr>
      <w:r>
        <w:rPr>
          <w:rFonts w:ascii="Bookman Old Style" w:hAnsi="Bookman Old Style"/>
          <w:kern w:val="0"/>
          <w:sz w:val="28"/>
          <w:szCs w:val="28"/>
          <w:lang w:val="el-GR"/>
          <w14:ligatures w14:val="none"/>
        </w:rPr>
        <w:t xml:space="preserve">Συνακόλουθα, η Έφεση απορρίπτεται. </w:t>
      </w:r>
    </w:p>
    <w:p w14:paraId="023F8606" w14:textId="4070EAA7" w:rsidR="00A23F41" w:rsidRPr="00A23F41" w:rsidRDefault="00A23F41" w:rsidP="00C21501">
      <w:pPr>
        <w:spacing w:after="0" w:line="480" w:lineRule="auto"/>
        <w:ind w:firstLine="720"/>
        <w:jc w:val="both"/>
        <w:rPr>
          <w:rFonts w:ascii="Bookman Old Style" w:hAnsi="Bookman Old Style"/>
          <w:kern w:val="0"/>
          <w:sz w:val="28"/>
          <w:szCs w:val="28"/>
          <w:lang w:val="el-GR"/>
          <w14:ligatures w14:val="none"/>
        </w:rPr>
      </w:pPr>
      <w:bookmarkStart w:id="0" w:name="_GoBack"/>
      <w:bookmarkEnd w:id="0"/>
      <w:r>
        <w:rPr>
          <w:rFonts w:ascii="Bookman Old Style" w:hAnsi="Bookman Old Style"/>
          <w:kern w:val="0"/>
          <w:sz w:val="28"/>
          <w:szCs w:val="28"/>
          <w:lang w:val="el-GR"/>
          <w14:ligatures w14:val="none"/>
        </w:rPr>
        <w:t>Επιδικάζονται έξοδα προς όφελος της Εφεσίβλητης και σε βάρος του Εφεσείοντα ύψους €3.000.-</w:t>
      </w:r>
    </w:p>
    <w:p w14:paraId="46E274A9" w14:textId="77777777" w:rsidR="00171BB8" w:rsidRPr="00E43C2C" w:rsidRDefault="00171BB8" w:rsidP="00155B6C">
      <w:pPr>
        <w:rPr>
          <w:rFonts w:ascii="Bookman Old Style" w:hAnsi="Bookman Old Style"/>
          <w:b/>
          <w:bCs/>
          <w:kern w:val="0"/>
          <w:sz w:val="28"/>
          <w:szCs w:val="28"/>
          <w:lang w:val="el-GR"/>
          <w14:ligatures w14:val="none"/>
        </w:rPr>
      </w:pPr>
    </w:p>
    <w:p w14:paraId="07D3A84C" w14:textId="77777777" w:rsidR="00171BB8" w:rsidRPr="00E43C2C" w:rsidRDefault="00171BB8" w:rsidP="00155B6C">
      <w:pPr>
        <w:rPr>
          <w:rFonts w:ascii="Bookman Old Style" w:hAnsi="Bookman Old Style"/>
          <w:b/>
          <w:bCs/>
          <w:kern w:val="0"/>
          <w:sz w:val="28"/>
          <w:szCs w:val="28"/>
          <w:lang w:val="el-GR"/>
          <w14:ligatures w14:val="none"/>
        </w:rPr>
      </w:pPr>
    </w:p>
    <w:p w14:paraId="131FA59A" w14:textId="165622AC" w:rsidR="00171BB8" w:rsidRPr="00A32A8F" w:rsidRDefault="00171BB8" w:rsidP="00171BB8">
      <w:pPr>
        <w:ind w:firstLine="5387"/>
        <w:rPr>
          <w:rFonts w:ascii="Bookman Old Style" w:hAnsi="Bookman Old Style"/>
          <w:sz w:val="28"/>
          <w:szCs w:val="28"/>
          <w:lang w:val="el-GR"/>
        </w:rPr>
      </w:pP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r>
      <w:r w:rsidRPr="00E43C2C">
        <w:rPr>
          <w:rFonts w:ascii="Bookman Old Style" w:hAnsi="Bookman Old Style"/>
          <w:b/>
          <w:bCs/>
          <w:kern w:val="0"/>
          <w:sz w:val="28"/>
          <w:szCs w:val="28"/>
          <w:lang w:val="el-GR"/>
          <w14:ligatures w14:val="none"/>
        </w:rPr>
        <w:tab/>
        <w:t xml:space="preserve">   </w:t>
      </w:r>
      <w:r w:rsidRPr="00A32A8F">
        <w:rPr>
          <w:rFonts w:ascii="Bookman Old Style" w:hAnsi="Bookman Old Style"/>
          <w:sz w:val="28"/>
          <w:szCs w:val="28"/>
          <w:lang w:val="el-GR"/>
        </w:rPr>
        <w:t>Τ. ΨΑΡΑ-ΜΙΛΤΙΑΔΟΥ, Δ.</w:t>
      </w:r>
    </w:p>
    <w:p w14:paraId="4020B19A" w14:textId="77777777" w:rsidR="00171BB8" w:rsidRDefault="00171BB8" w:rsidP="00171BB8">
      <w:pPr>
        <w:ind w:firstLine="5387"/>
        <w:rPr>
          <w:rFonts w:ascii="Bookman Old Style" w:hAnsi="Bookman Old Style"/>
          <w:sz w:val="28"/>
          <w:szCs w:val="28"/>
          <w:lang w:val="el-GR"/>
        </w:rPr>
      </w:pPr>
    </w:p>
    <w:p w14:paraId="61FC1546" w14:textId="77777777" w:rsidR="00171BB8" w:rsidRPr="00A32A8F" w:rsidRDefault="00171BB8" w:rsidP="00171BB8">
      <w:pPr>
        <w:ind w:firstLine="5387"/>
        <w:rPr>
          <w:rFonts w:ascii="Bookman Old Style" w:hAnsi="Bookman Old Style"/>
          <w:sz w:val="28"/>
          <w:szCs w:val="28"/>
          <w:lang w:val="el-GR"/>
        </w:rPr>
      </w:pPr>
    </w:p>
    <w:p w14:paraId="414A44AD" w14:textId="77777777" w:rsidR="00171BB8" w:rsidRPr="00A32A8F" w:rsidRDefault="00171BB8" w:rsidP="00171BB8">
      <w:pPr>
        <w:ind w:firstLine="5387"/>
        <w:rPr>
          <w:rFonts w:ascii="Bookman Old Style" w:hAnsi="Bookman Old Style"/>
          <w:sz w:val="28"/>
          <w:szCs w:val="28"/>
          <w:lang w:val="el-GR"/>
        </w:rPr>
      </w:pPr>
      <w:r w:rsidRPr="00A32A8F">
        <w:rPr>
          <w:rFonts w:ascii="Bookman Old Style" w:hAnsi="Bookman Old Style"/>
          <w:sz w:val="28"/>
          <w:szCs w:val="28"/>
          <w:lang w:val="el-GR"/>
        </w:rPr>
        <w:t xml:space="preserve"> ΣΤ. ΧΑΤΖΗΓΙΑΝΝΗ,  Δ.</w:t>
      </w:r>
    </w:p>
    <w:p w14:paraId="5939719F" w14:textId="77777777" w:rsidR="00171BB8" w:rsidRPr="00A32A8F" w:rsidRDefault="00171BB8" w:rsidP="00171BB8">
      <w:pPr>
        <w:ind w:firstLine="5387"/>
        <w:rPr>
          <w:rFonts w:ascii="Bookman Old Style" w:hAnsi="Bookman Old Style"/>
          <w:sz w:val="28"/>
          <w:szCs w:val="28"/>
          <w:lang w:val="el-GR"/>
        </w:rPr>
      </w:pPr>
    </w:p>
    <w:p w14:paraId="2FBC34EF" w14:textId="77777777" w:rsidR="00171BB8" w:rsidRDefault="00171BB8" w:rsidP="00171BB8">
      <w:pPr>
        <w:ind w:firstLine="5387"/>
        <w:rPr>
          <w:rFonts w:ascii="Bookman Old Style" w:hAnsi="Bookman Old Style"/>
          <w:sz w:val="28"/>
          <w:szCs w:val="28"/>
          <w:lang w:val="el-GR"/>
        </w:rPr>
      </w:pPr>
    </w:p>
    <w:p w14:paraId="0BC8B343" w14:textId="017CE725" w:rsidR="00171BB8" w:rsidRPr="00A32A8F" w:rsidRDefault="00171BB8" w:rsidP="00171BB8">
      <w:pPr>
        <w:ind w:firstLine="5387"/>
        <w:rPr>
          <w:rFonts w:ascii="Bookman Old Style" w:hAnsi="Bookman Old Style"/>
          <w:sz w:val="28"/>
          <w:szCs w:val="28"/>
          <w:lang w:val="el-GR"/>
        </w:rPr>
      </w:pPr>
      <w:r w:rsidRPr="00A32A8F">
        <w:rPr>
          <w:rFonts w:ascii="Bookman Old Style" w:hAnsi="Bookman Old Style"/>
          <w:sz w:val="28"/>
          <w:szCs w:val="28"/>
          <w:lang w:val="el-GR"/>
        </w:rPr>
        <w:t>Η. ΓΕΩΡΓΙΟΥ, Δ.</w:t>
      </w:r>
    </w:p>
    <w:p w14:paraId="2D91C44B" w14:textId="77777777" w:rsidR="00171BB8" w:rsidRPr="00CB211A" w:rsidRDefault="00171BB8" w:rsidP="00171BB8">
      <w:pPr>
        <w:rPr>
          <w:rFonts w:ascii="Bookman Old Style" w:hAnsi="Bookman Old Style"/>
          <w:i/>
          <w:iCs/>
          <w:sz w:val="16"/>
          <w:szCs w:val="16"/>
          <w:lang w:val="el-GR"/>
        </w:rPr>
      </w:pPr>
      <w:r w:rsidRPr="00CB211A">
        <w:rPr>
          <w:rFonts w:ascii="Bookman Old Style" w:hAnsi="Bookman Old Style"/>
          <w:i/>
          <w:iCs/>
          <w:sz w:val="16"/>
          <w:szCs w:val="16"/>
          <w:lang w:val="el-GR"/>
        </w:rPr>
        <w:t>/Α.Λ.Ο.</w:t>
      </w:r>
    </w:p>
    <w:p w14:paraId="47CA5125" w14:textId="4C243881" w:rsidR="00171BB8" w:rsidRPr="00ED62CC" w:rsidRDefault="00171BB8" w:rsidP="00155B6C">
      <w:pPr>
        <w:rPr>
          <w:lang w:val="el-GR"/>
        </w:rPr>
      </w:pPr>
    </w:p>
    <w:sectPr w:rsidR="00171BB8" w:rsidRPr="00ED62CC" w:rsidSect="00297435">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8A2CD" w14:textId="77777777" w:rsidR="00186D85" w:rsidRDefault="00186D85" w:rsidP="00297435">
      <w:pPr>
        <w:spacing w:after="0" w:line="240" w:lineRule="auto"/>
      </w:pPr>
      <w:r>
        <w:separator/>
      </w:r>
    </w:p>
  </w:endnote>
  <w:endnote w:type="continuationSeparator" w:id="0">
    <w:p w14:paraId="0B45BBE2" w14:textId="77777777" w:rsidR="00186D85" w:rsidRDefault="00186D85" w:rsidP="0029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B8F8D" w14:textId="77777777" w:rsidR="00186D85" w:rsidRDefault="00186D85" w:rsidP="00297435">
      <w:pPr>
        <w:spacing w:after="0" w:line="240" w:lineRule="auto"/>
      </w:pPr>
      <w:r>
        <w:separator/>
      </w:r>
    </w:p>
  </w:footnote>
  <w:footnote w:type="continuationSeparator" w:id="0">
    <w:p w14:paraId="30F7841A" w14:textId="77777777" w:rsidR="00186D85" w:rsidRDefault="00186D85" w:rsidP="00297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632025"/>
      <w:docPartObj>
        <w:docPartGallery w:val="Page Numbers (Top of Page)"/>
        <w:docPartUnique/>
      </w:docPartObj>
    </w:sdtPr>
    <w:sdtEndPr>
      <w:rPr>
        <w:noProof/>
      </w:rPr>
    </w:sdtEndPr>
    <w:sdtContent>
      <w:p w14:paraId="7C809D60" w14:textId="4F2EE239" w:rsidR="00297435" w:rsidRDefault="00297435">
        <w:pPr>
          <w:pStyle w:val="Header"/>
          <w:jc w:val="center"/>
        </w:pPr>
        <w:r>
          <w:fldChar w:fldCharType="begin"/>
        </w:r>
        <w:r>
          <w:instrText xml:space="preserve"> PAGE   \* MERGEFORMAT </w:instrText>
        </w:r>
        <w:r>
          <w:fldChar w:fldCharType="separate"/>
        </w:r>
        <w:r w:rsidR="00F51F9C">
          <w:rPr>
            <w:noProof/>
          </w:rPr>
          <w:t>18</w:t>
        </w:r>
        <w:r>
          <w:rPr>
            <w:noProof/>
          </w:rPr>
          <w:fldChar w:fldCharType="end"/>
        </w:r>
      </w:p>
    </w:sdtContent>
  </w:sdt>
  <w:p w14:paraId="49162B35" w14:textId="77777777" w:rsidR="00297435" w:rsidRDefault="002974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6C"/>
    <w:rsid w:val="000F39F1"/>
    <w:rsid w:val="00155B6C"/>
    <w:rsid w:val="00166D52"/>
    <w:rsid w:val="00171BB8"/>
    <w:rsid w:val="00186D85"/>
    <w:rsid w:val="00197725"/>
    <w:rsid w:val="001C1175"/>
    <w:rsid w:val="00215C60"/>
    <w:rsid w:val="00297435"/>
    <w:rsid w:val="002B0949"/>
    <w:rsid w:val="00353F96"/>
    <w:rsid w:val="003F07D6"/>
    <w:rsid w:val="004F0CCC"/>
    <w:rsid w:val="005870AB"/>
    <w:rsid w:val="00702488"/>
    <w:rsid w:val="00726AEA"/>
    <w:rsid w:val="007818DF"/>
    <w:rsid w:val="007B326A"/>
    <w:rsid w:val="008517F8"/>
    <w:rsid w:val="008825B2"/>
    <w:rsid w:val="009327FF"/>
    <w:rsid w:val="009403BF"/>
    <w:rsid w:val="00965FAC"/>
    <w:rsid w:val="009E273B"/>
    <w:rsid w:val="00A21A76"/>
    <w:rsid w:val="00A23F41"/>
    <w:rsid w:val="00A254D9"/>
    <w:rsid w:val="00A64B39"/>
    <w:rsid w:val="00AB5165"/>
    <w:rsid w:val="00B9150C"/>
    <w:rsid w:val="00BA365D"/>
    <w:rsid w:val="00BF7A09"/>
    <w:rsid w:val="00C21501"/>
    <w:rsid w:val="00C40177"/>
    <w:rsid w:val="00D423FB"/>
    <w:rsid w:val="00D472D4"/>
    <w:rsid w:val="00DF1EEA"/>
    <w:rsid w:val="00E43C2C"/>
    <w:rsid w:val="00E57DB3"/>
    <w:rsid w:val="00E944E7"/>
    <w:rsid w:val="00E9613D"/>
    <w:rsid w:val="00ED62CC"/>
    <w:rsid w:val="00EE62CC"/>
    <w:rsid w:val="00F31AA7"/>
    <w:rsid w:val="00F51F9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4A626"/>
  <w15:chartTrackingRefBased/>
  <w15:docId w15:val="{5E38A5A6-9572-48FF-99D0-83221993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B6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B6C"/>
    <w:pPr>
      <w:ind w:left="720"/>
      <w:contextualSpacing/>
    </w:pPr>
  </w:style>
  <w:style w:type="paragraph" w:styleId="Header">
    <w:name w:val="header"/>
    <w:basedOn w:val="Normal"/>
    <w:link w:val="HeaderChar"/>
    <w:uiPriority w:val="99"/>
    <w:unhideWhenUsed/>
    <w:rsid w:val="00297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435"/>
    <w:rPr>
      <w:lang/>
    </w:rPr>
  </w:style>
  <w:style w:type="paragraph" w:styleId="Footer">
    <w:name w:val="footer"/>
    <w:basedOn w:val="Normal"/>
    <w:link w:val="FooterChar"/>
    <w:uiPriority w:val="99"/>
    <w:unhideWhenUsed/>
    <w:rsid w:val="00297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435"/>
    <w:rPr>
      <w:lang/>
    </w:rPr>
  </w:style>
  <w:style w:type="paragraph" w:customStyle="1" w:styleId="apapaoi">
    <w:name w:val="apapaoi"/>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a">
    <w:name w:val="a"/>
    <w:basedOn w:val="Normal"/>
    <w:rsid w:val="00A21A76"/>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normal1">
    <w:name w:val="normal1"/>
    <w:basedOn w:val="DefaultParagraphFont"/>
    <w:rsid w:val="00A21A76"/>
  </w:style>
  <w:style w:type="character" w:styleId="Hyperlink">
    <w:name w:val="Hyperlink"/>
    <w:basedOn w:val="DefaultParagraphFont"/>
    <w:uiPriority w:val="99"/>
    <w:semiHidden/>
    <w:unhideWhenUsed/>
    <w:rsid w:val="00A2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1290">
      <w:bodyDiv w:val="1"/>
      <w:marLeft w:val="0"/>
      <w:marRight w:val="0"/>
      <w:marTop w:val="0"/>
      <w:marBottom w:val="0"/>
      <w:divBdr>
        <w:top w:val="none" w:sz="0" w:space="0" w:color="auto"/>
        <w:left w:val="none" w:sz="0" w:space="0" w:color="auto"/>
        <w:bottom w:val="none" w:sz="0" w:space="0" w:color="auto"/>
        <w:right w:val="none" w:sz="0" w:space="0" w:color="auto"/>
      </w:divBdr>
    </w:div>
    <w:div w:id="9147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1998/rep/1998_3_0742.htm" TargetMode="External"/><Relationship Id="rId3" Type="http://schemas.openxmlformats.org/officeDocument/2006/relationships/settings" Target="settings.xml"/><Relationship Id="rId7" Type="http://schemas.openxmlformats.org/officeDocument/2006/relationships/hyperlink" Target="http://www.cylaw.org/cgi-bin/open.pl?file=/apofaseis/aad/meros_3/1990/rep/1990_3_1175.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ylaw.org/cgi-bin/open.pl?file=/apofaseis/aad/meros_3/2002/rep/2002_3_04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3215</Words>
  <Characters>17366</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Orfanidou  Andri</dc:creator>
  <cp:keywords/>
  <dc:description/>
  <cp:lastModifiedBy>Kakia Zervou</cp:lastModifiedBy>
  <cp:revision>2</cp:revision>
  <cp:lastPrinted>2023-10-16T09:57:00Z</cp:lastPrinted>
  <dcterms:created xsi:type="dcterms:W3CDTF">2023-10-18T08:02:00Z</dcterms:created>
  <dcterms:modified xsi:type="dcterms:W3CDTF">2023-10-18T08:02:00Z</dcterms:modified>
</cp:coreProperties>
</file>